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6B47" w14:textId="77777777"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Gujarat Pipavav Port Limited</w:t>
      </w:r>
    </w:p>
    <w:p w14:paraId="314743E8" w14:textId="77777777" w:rsidR="00C42084" w:rsidRPr="009D5AA5" w:rsidRDefault="00C42084" w:rsidP="00C42084">
      <w:pPr>
        <w:jc w:val="center"/>
        <w:rPr>
          <w:rFonts w:asciiTheme="majorHAnsi" w:hAnsiTheme="majorHAnsi" w:cstheme="majorHAnsi"/>
          <w:b/>
          <w:sz w:val="28"/>
          <w:szCs w:val="28"/>
        </w:rPr>
      </w:pPr>
    </w:p>
    <w:p w14:paraId="1604EF34" w14:textId="1C91703F"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 xml:space="preserve">Offer for collection of Hazardous and Non- Hazardous waste on annual rate contract basis at APM Terminals Pipavav, Gujarat. </w:t>
      </w:r>
    </w:p>
    <w:p w14:paraId="56596226" w14:textId="77777777" w:rsidR="00C42084" w:rsidRPr="009D5AA5" w:rsidRDefault="00C42084" w:rsidP="00C42084">
      <w:pPr>
        <w:jc w:val="center"/>
        <w:rPr>
          <w:rFonts w:asciiTheme="majorHAnsi" w:hAnsiTheme="majorHAnsi" w:cstheme="majorHAnsi"/>
          <w:b/>
          <w:sz w:val="28"/>
          <w:szCs w:val="28"/>
        </w:rPr>
      </w:pPr>
    </w:p>
    <w:p w14:paraId="3E1737DA" w14:textId="77777777" w:rsidR="00C42084" w:rsidRPr="009D5AA5" w:rsidRDefault="00C42084" w:rsidP="00C42084">
      <w:pPr>
        <w:pStyle w:val="Title"/>
        <w:jc w:val="both"/>
        <w:rPr>
          <w:rFonts w:asciiTheme="majorHAnsi" w:hAnsiTheme="majorHAnsi" w:cstheme="majorHAnsi"/>
        </w:rPr>
      </w:pPr>
    </w:p>
    <w:p w14:paraId="1BC67D31" w14:textId="77777777" w:rsidR="00C42084" w:rsidRPr="009D5AA5" w:rsidRDefault="00C42084" w:rsidP="00AD2395">
      <w:pPr>
        <w:pStyle w:val="Title"/>
        <w:jc w:val="left"/>
        <w:rPr>
          <w:rFonts w:asciiTheme="majorHAnsi" w:hAnsiTheme="majorHAnsi" w:cstheme="majorHAnsi"/>
        </w:rPr>
      </w:pPr>
      <w:r w:rsidRPr="009D5AA5">
        <w:rPr>
          <w:rFonts w:asciiTheme="majorHAnsi" w:hAnsiTheme="majorHAnsi" w:cstheme="majorHAnsi"/>
        </w:rPr>
        <w:t>INSTRUCTIONS TO TENDERERS</w:t>
      </w:r>
    </w:p>
    <w:p w14:paraId="28BD6FDC" w14:textId="77777777" w:rsidR="00C42084" w:rsidRPr="009D5AA5" w:rsidRDefault="00C42084" w:rsidP="00C42084">
      <w:pPr>
        <w:jc w:val="both"/>
        <w:rPr>
          <w:rFonts w:asciiTheme="majorHAnsi" w:hAnsiTheme="majorHAnsi" w:cstheme="majorHAnsi"/>
        </w:rPr>
      </w:pPr>
    </w:p>
    <w:p w14:paraId="06790119"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 xml:space="preserve">A. </w:t>
      </w:r>
      <w:r w:rsidRPr="009D5AA5">
        <w:rPr>
          <w:rFonts w:asciiTheme="majorHAnsi" w:hAnsiTheme="majorHAnsi" w:cstheme="majorHAnsi"/>
          <w:b/>
        </w:rPr>
        <w:tab/>
        <w:t>GENERAL</w:t>
      </w:r>
    </w:p>
    <w:p w14:paraId="6B2BDC12" w14:textId="77777777" w:rsidR="00C42084" w:rsidRPr="009D5AA5" w:rsidRDefault="00C42084" w:rsidP="00C42084">
      <w:pPr>
        <w:jc w:val="both"/>
        <w:rPr>
          <w:rFonts w:asciiTheme="majorHAnsi" w:hAnsiTheme="majorHAnsi" w:cstheme="majorHAnsi"/>
          <w:b/>
        </w:rPr>
      </w:pPr>
    </w:p>
    <w:p w14:paraId="0CA67D0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1.</w:t>
      </w:r>
      <w:r w:rsidRPr="009D5AA5">
        <w:rPr>
          <w:rFonts w:asciiTheme="majorHAnsi" w:hAnsiTheme="majorHAnsi" w:cstheme="majorHAnsi"/>
          <w:b/>
        </w:rPr>
        <w:tab/>
        <w:t>Description of Works</w:t>
      </w:r>
    </w:p>
    <w:p w14:paraId="6A172AF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ab/>
      </w:r>
    </w:p>
    <w:p w14:paraId="15D83321" w14:textId="5F8E71EE" w:rsidR="00C42084" w:rsidRPr="009D5AA5" w:rsidRDefault="00C42084" w:rsidP="00C42084">
      <w:pPr>
        <w:tabs>
          <w:tab w:val="left" w:pos="720"/>
        </w:tabs>
        <w:ind w:left="720" w:hanging="720"/>
        <w:jc w:val="both"/>
        <w:rPr>
          <w:rFonts w:asciiTheme="majorHAnsi" w:hAnsiTheme="majorHAnsi" w:cstheme="majorHAnsi"/>
          <w:b/>
          <w:sz w:val="28"/>
          <w:szCs w:val="28"/>
        </w:rPr>
      </w:pPr>
      <w:r w:rsidRPr="009D5AA5">
        <w:rPr>
          <w:rFonts w:asciiTheme="majorHAnsi" w:hAnsiTheme="majorHAnsi" w:cstheme="majorHAnsi"/>
        </w:rPr>
        <w:t>1.1</w:t>
      </w:r>
      <w:r w:rsidRPr="009D5AA5">
        <w:rPr>
          <w:rFonts w:asciiTheme="majorHAnsi" w:hAnsiTheme="majorHAnsi" w:cstheme="majorHAnsi"/>
        </w:rPr>
        <w:tab/>
        <w:t xml:space="preserve">The works under this contract form part of collection of Haz and Non-Haz waste on advance payment by vendor from Gujarat Pipavav Port Ltd. (GPPL) waste yard. </w:t>
      </w:r>
    </w:p>
    <w:p w14:paraId="222E33F6" w14:textId="77777777" w:rsidR="00C42084" w:rsidRPr="009D5AA5" w:rsidRDefault="00C42084" w:rsidP="00C42084">
      <w:pPr>
        <w:ind w:left="720"/>
        <w:jc w:val="both"/>
        <w:rPr>
          <w:rFonts w:asciiTheme="majorHAnsi" w:hAnsiTheme="majorHAnsi" w:cstheme="majorHAnsi"/>
        </w:rPr>
      </w:pPr>
    </w:p>
    <w:p w14:paraId="0C499253" w14:textId="77777777" w:rsidR="00C42084" w:rsidRPr="009D5AA5" w:rsidRDefault="00C42084" w:rsidP="00C42084">
      <w:pPr>
        <w:jc w:val="both"/>
        <w:rPr>
          <w:rFonts w:asciiTheme="majorHAnsi" w:hAnsiTheme="majorHAnsi" w:cstheme="majorHAnsi"/>
        </w:rPr>
      </w:pPr>
    </w:p>
    <w:p w14:paraId="7D7F4142" w14:textId="77777777" w:rsidR="00C42084" w:rsidRPr="009D5AA5" w:rsidRDefault="00C42084" w:rsidP="00C42084">
      <w:pPr>
        <w:jc w:val="both"/>
        <w:rPr>
          <w:rFonts w:asciiTheme="majorHAnsi" w:hAnsiTheme="majorHAnsi" w:cstheme="majorHAnsi"/>
          <w:sz w:val="12"/>
        </w:rPr>
      </w:pPr>
    </w:p>
    <w:p w14:paraId="15F76948"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2.</w:t>
      </w:r>
      <w:r w:rsidRPr="009D5AA5">
        <w:rPr>
          <w:rFonts w:asciiTheme="majorHAnsi" w:hAnsiTheme="majorHAnsi" w:cstheme="majorHAnsi"/>
          <w:b/>
        </w:rPr>
        <w:tab/>
        <w:t>Eligibility Requirements</w:t>
      </w:r>
    </w:p>
    <w:p w14:paraId="4F8E9CA3" w14:textId="77777777" w:rsidR="00C42084" w:rsidRPr="009D5AA5" w:rsidRDefault="00C42084" w:rsidP="00C42084">
      <w:pPr>
        <w:jc w:val="both"/>
        <w:rPr>
          <w:rFonts w:asciiTheme="majorHAnsi" w:hAnsiTheme="majorHAnsi" w:cstheme="majorHAnsi"/>
        </w:rPr>
      </w:pPr>
    </w:p>
    <w:p w14:paraId="2D1BFCDF" w14:textId="4EE847EF"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ab/>
        <w:t xml:space="preserve">To be eligible for award of subject Contract, Tenderers shall provide evidence to the satisfaction of </w:t>
      </w:r>
      <w:r w:rsidR="00DE26EB" w:rsidRPr="009D5AA5">
        <w:rPr>
          <w:rFonts w:asciiTheme="majorHAnsi" w:hAnsiTheme="majorHAnsi" w:cstheme="majorHAnsi"/>
        </w:rPr>
        <w:t>GPPL</w:t>
      </w:r>
      <w:r w:rsidRPr="009D5AA5">
        <w:rPr>
          <w:rFonts w:asciiTheme="majorHAnsi" w:hAnsiTheme="majorHAnsi" w:cstheme="majorHAnsi"/>
        </w:rPr>
        <w:t xml:space="preserve"> regarding their capabilities and adequacy of resources to effectively carry out the subject Contract. To satisfy this requirement, all Tenders submitted shall include the following information:</w:t>
      </w:r>
    </w:p>
    <w:p w14:paraId="25C0C0D1" w14:textId="77777777" w:rsidR="00C42084" w:rsidRPr="009D5AA5" w:rsidRDefault="00C42084" w:rsidP="00C42084">
      <w:pPr>
        <w:ind w:left="720" w:hanging="720"/>
        <w:jc w:val="both"/>
        <w:rPr>
          <w:rFonts w:asciiTheme="majorHAnsi" w:hAnsiTheme="majorHAnsi" w:cstheme="majorHAnsi"/>
        </w:rPr>
      </w:pPr>
    </w:p>
    <w:p w14:paraId="6EB1E88A" w14:textId="7E70B533" w:rsidR="00C42084" w:rsidRPr="009D5AA5" w:rsidRDefault="00C42084" w:rsidP="00C42084">
      <w:pPr>
        <w:numPr>
          <w:ilvl w:val="0"/>
          <w:numId w:val="4"/>
        </w:numPr>
        <w:jc w:val="both"/>
        <w:rPr>
          <w:rFonts w:asciiTheme="majorHAnsi" w:hAnsiTheme="majorHAnsi" w:cstheme="majorHAnsi"/>
        </w:rPr>
      </w:pPr>
      <w:r w:rsidRPr="009D5AA5">
        <w:rPr>
          <w:rFonts w:asciiTheme="majorHAnsi" w:hAnsiTheme="majorHAnsi" w:cstheme="majorHAnsi"/>
        </w:rPr>
        <w:t xml:space="preserve">Tenderer shall submit valid consent from </w:t>
      </w:r>
      <w:proofErr w:type="spellStart"/>
      <w:r w:rsidRPr="009D5AA5">
        <w:rPr>
          <w:rFonts w:asciiTheme="majorHAnsi" w:hAnsiTheme="majorHAnsi" w:cstheme="majorHAnsi"/>
        </w:rPr>
        <w:t>GPCB</w:t>
      </w:r>
      <w:proofErr w:type="spellEnd"/>
      <w:r w:rsidRPr="009D5AA5">
        <w:rPr>
          <w:rFonts w:asciiTheme="majorHAnsi" w:hAnsiTheme="majorHAnsi" w:cstheme="majorHAnsi"/>
        </w:rPr>
        <w:t xml:space="preserve"> for Hazardous waste listed in annexure -I. </w:t>
      </w:r>
    </w:p>
    <w:p w14:paraId="3A32F570" w14:textId="77777777" w:rsidR="00C42084" w:rsidRPr="009D5AA5" w:rsidRDefault="00C42084" w:rsidP="00C42084">
      <w:pPr>
        <w:jc w:val="both"/>
        <w:rPr>
          <w:rFonts w:asciiTheme="majorHAnsi" w:hAnsiTheme="majorHAnsi" w:cstheme="majorHAnsi"/>
        </w:rPr>
      </w:pPr>
    </w:p>
    <w:p w14:paraId="11BDBEFD" w14:textId="77777777" w:rsidR="00C42084" w:rsidRPr="009D5AA5" w:rsidRDefault="00C42084" w:rsidP="00C42084">
      <w:pPr>
        <w:jc w:val="both"/>
        <w:rPr>
          <w:rFonts w:asciiTheme="majorHAnsi" w:hAnsiTheme="majorHAnsi" w:cstheme="majorHAnsi"/>
        </w:rPr>
      </w:pPr>
    </w:p>
    <w:p w14:paraId="3754A197" w14:textId="77777777" w:rsidR="00C42084" w:rsidRPr="009D5AA5" w:rsidRDefault="00C42084" w:rsidP="00C42084">
      <w:pPr>
        <w:ind w:left="720"/>
        <w:jc w:val="both"/>
        <w:rPr>
          <w:rFonts w:asciiTheme="majorHAnsi" w:hAnsiTheme="majorHAnsi" w:cstheme="majorHAnsi"/>
        </w:rPr>
      </w:pPr>
      <w:r w:rsidRPr="009D5AA5">
        <w:rPr>
          <w:rFonts w:asciiTheme="majorHAnsi" w:hAnsiTheme="majorHAnsi" w:cstheme="majorHAnsi"/>
        </w:rPr>
        <w:t>Please note that information sought above shall be furnished afresh irrespective of the fact that the same may have been included in Pre-qualification application.</w:t>
      </w:r>
    </w:p>
    <w:p w14:paraId="44C7E1BE" w14:textId="77777777" w:rsidR="00C42084" w:rsidRPr="009D5AA5" w:rsidRDefault="00C42084" w:rsidP="00C42084">
      <w:pPr>
        <w:jc w:val="both"/>
        <w:rPr>
          <w:rFonts w:asciiTheme="majorHAnsi" w:hAnsiTheme="majorHAnsi" w:cstheme="majorHAnsi"/>
        </w:rPr>
      </w:pPr>
    </w:p>
    <w:p w14:paraId="432BFF3A" w14:textId="77777777" w:rsidR="00C42084" w:rsidRPr="009D5AA5" w:rsidRDefault="00C42084" w:rsidP="00C42084">
      <w:pPr>
        <w:jc w:val="both"/>
        <w:rPr>
          <w:rFonts w:asciiTheme="majorHAnsi" w:hAnsiTheme="majorHAnsi" w:cstheme="majorHAnsi"/>
        </w:rPr>
      </w:pPr>
    </w:p>
    <w:p w14:paraId="09EB3FAC" w14:textId="77777777" w:rsidR="00C42084" w:rsidRPr="009D5AA5" w:rsidRDefault="00C42084" w:rsidP="00C42084">
      <w:pPr>
        <w:jc w:val="both"/>
        <w:rPr>
          <w:rFonts w:asciiTheme="majorHAnsi" w:hAnsiTheme="majorHAnsi" w:cstheme="majorHAnsi"/>
        </w:rPr>
      </w:pPr>
    </w:p>
    <w:p w14:paraId="20F656AB"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3.</w:t>
      </w:r>
      <w:r w:rsidRPr="009D5AA5">
        <w:rPr>
          <w:rFonts w:asciiTheme="majorHAnsi" w:hAnsiTheme="majorHAnsi" w:cstheme="majorHAnsi"/>
          <w:b/>
        </w:rPr>
        <w:tab/>
        <w:t>Cost of Bidding</w:t>
      </w:r>
    </w:p>
    <w:p w14:paraId="2567A5E8" w14:textId="77777777" w:rsidR="00C42084" w:rsidRPr="009D5AA5" w:rsidRDefault="00C42084" w:rsidP="00C42084">
      <w:pPr>
        <w:jc w:val="both"/>
        <w:rPr>
          <w:rFonts w:asciiTheme="majorHAnsi" w:hAnsiTheme="majorHAnsi" w:cstheme="majorHAnsi"/>
        </w:rPr>
      </w:pPr>
    </w:p>
    <w:p w14:paraId="14546936" w14:textId="25E948A6" w:rsidR="00C42084" w:rsidRPr="009D5AA5" w:rsidRDefault="00C42084" w:rsidP="00C42084">
      <w:pPr>
        <w:ind w:left="720" w:hanging="720"/>
        <w:jc w:val="both"/>
        <w:rPr>
          <w:rFonts w:asciiTheme="majorHAnsi" w:hAnsiTheme="majorHAnsi" w:cstheme="majorHAnsi"/>
        </w:rPr>
      </w:pPr>
      <w:r w:rsidRPr="009D5AA5">
        <w:rPr>
          <w:rFonts w:asciiTheme="majorHAnsi" w:hAnsiTheme="majorHAnsi" w:cstheme="majorHAnsi"/>
        </w:rPr>
        <w:tab/>
        <w:t xml:space="preserve">The Tenderer shall bear all costs associated with the preparation and submission of his Tender and </w:t>
      </w:r>
      <w:r w:rsidR="00DE26EB" w:rsidRPr="009D5AA5">
        <w:rPr>
          <w:rFonts w:asciiTheme="majorHAnsi" w:hAnsiTheme="majorHAnsi" w:cstheme="majorHAnsi"/>
        </w:rPr>
        <w:t>GPPL</w:t>
      </w:r>
      <w:r w:rsidRPr="009D5AA5">
        <w:rPr>
          <w:rFonts w:asciiTheme="majorHAnsi" w:hAnsiTheme="majorHAnsi" w:cstheme="majorHAnsi"/>
        </w:rPr>
        <w:t xml:space="preserve"> will in no case be responsible or liable for these costs regardless of the conduct or outcome of the Tendering process.</w:t>
      </w:r>
    </w:p>
    <w:p w14:paraId="084AD241" w14:textId="3970BFA9" w:rsidR="00C42084" w:rsidRPr="009D5AA5" w:rsidRDefault="00C42084" w:rsidP="00C42084">
      <w:pPr>
        <w:ind w:left="720" w:hanging="720"/>
        <w:jc w:val="both"/>
        <w:rPr>
          <w:rFonts w:asciiTheme="majorHAnsi" w:hAnsiTheme="majorHAnsi" w:cstheme="majorHAnsi"/>
        </w:rPr>
      </w:pPr>
    </w:p>
    <w:p w14:paraId="35758B24" w14:textId="7967A842" w:rsidR="00C42084" w:rsidRPr="009D5AA5" w:rsidRDefault="00C42084" w:rsidP="00C42084">
      <w:pPr>
        <w:ind w:left="720" w:hanging="720"/>
        <w:jc w:val="both"/>
        <w:rPr>
          <w:rFonts w:asciiTheme="majorHAnsi" w:hAnsiTheme="majorHAnsi" w:cstheme="majorHAnsi"/>
        </w:rPr>
      </w:pPr>
    </w:p>
    <w:p w14:paraId="18AEF76C" w14:textId="6E9FB93F" w:rsidR="00C42084" w:rsidRDefault="00C42084" w:rsidP="00C42084">
      <w:pPr>
        <w:ind w:left="720" w:hanging="720"/>
        <w:jc w:val="both"/>
        <w:rPr>
          <w:rFonts w:asciiTheme="majorHAnsi" w:hAnsiTheme="majorHAnsi" w:cstheme="majorHAnsi"/>
        </w:rPr>
      </w:pPr>
    </w:p>
    <w:p w14:paraId="0092893F" w14:textId="10A7E3F9" w:rsidR="00635566" w:rsidRDefault="00635566" w:rsidP="00C42084">
      <w:pPr>
        <w:ind w:left="720" w:hanging="720"/>
        <w:jc w:val="both"/>
        <w:rPr>
          <w:rFonts w:asciiTheme="majorHAnsi" w:hAnsiTheme="majorHAnsi" w:cstheme="majorHAnsi"/>
        </w:rPr>
      </w:pPr>
    </w:p>
    <w:p w14:paraId="13E16FC6" w14:textId="4A89B344" w:rsidR="00635566" w:rsidRDefault="00635566" w:rsidP="00C42084">
      <w:pPr>
        <w:ind w:left="720" w:hanging="720"/>
        <w:jc w:val="both"/>
        <w:rPr>
          <w:rFonts w:asciiTheme="majorHAnsi" w:hAnsiTheme="majorHAnsi" w:cstheme="majorHAnsi"/>
        </w:rPr>
      </w:pPr>
    </w:p>
    <w:p w14:paraId="1FAF1FF8" w14:textId="1C6A2A3D" w:rsidR="00635566" w:rsidRDefault="00635566" w:rsidP="00C42084">
      <w:pPr>
        <w:ind w:left="720" w:hanging="720"/>
        <w:jc w:val="both"/>
        <w:rPr>
          <w:rFonts w:asciiTheme="majorHAnsi" w:hAnsiTheme="majorHAnsi" w:cstheme="majorHAnsi"/>
        </w:rPr>
      </w:pPr>
    </w:p>
    <w:p w14:paraId="2FE32207" w14:textId="77777777" w:rsidR="00635566" w:rsidRPr="009D5AA5" w:rsidRDefault="00635566" w:rsidP="00C42084">
      <w:pPr>
        <w:ind w:left="720" w:hanging="720"/>
        <w:jc w:val="both"/>
        <w:rPr>
          <w:rFonts w:asciiTheme="majorHAnsi" w:hAnsiTheme="majorHAnsi" w:cstheme="majorHAnsi"/>
        </w:rPr>
      </w:pPr>
    </w:p>
    <w:p w14:paraId="1520DE77" w14:textId="77777777" w:rsidR="00C42084" w:rsidRPr="009D5AA5" w:rsidRDefault="00C42084" w:rsidP="00C42084">
      <w:pPr>
        <w:ind w:left="720" w:hanging="720"/>
        <w:jc w:val="both"/>
        <w:rPr>
          <w:rFonts w:asciiTheme="majorHAnsi" w:hAnsiTheme="majorHAnsi" w:cstheme="majorHAnsi"/>
        </w:rPr>
      </w:pPr>
    </w:p>
    <w:p w14:paraId="0554EB60" w14:textId="77777777" w:rsidR="00C42084" w:rsidRPr="009D5AA5" w:rsidRDefault="00C42084" w:rsidP="00C42084">
      <w:pPr>
        <w:ind w:left="720" w:hanging="720"/>
        <w:jc w:val="both"/>
        <w:rPr>
          <w:rFonts w:asciiTheme="majorHAnsi" w:hAnsiTheme="majorHAnsi" w:cstheme="majorHAnsi"/>
          <w:b/>
        </w:rPr>
      </w:pPr>
    </w:p>
    <w:p w14:paraId="25D6828A" w14:textId="77777777" w:rsidR="00C42084" w:rsidRPr="009D5AA5" w:rsidRDefault="00C42084" w:rsidP="00C42084">
      <w:pPr>
        <w:ind w:left="720" w:hanging="720"/>
        <w:jc w:val="both"/>
        <w:rPr>
          <w:rFonts w:asciiTheme="majorHAnsi" w:hAnsiTheme="majorHAnsi" w:cstheme="majorHAnsi"/>
          <w:b/>
        </w:rPr>
      </w:pPr>
      <w:r w:rsidRPr="009D5AA5">
        <w:rPr>
          <w:rFonts w:asciiTheme="majorHAnsi" w:hAnsiTheme="majorHAnsi" w:cstheme="majorHAnsi"/>
          <w:b/>
        </w:rPr>
        <w:t>4.</w:t>
      </w:r>
      <w:r w:rsidRPr="009D5AA5">
        <w:rPr>
          <w:rFonts w:asciiTheme="majorHAnsi" w:hAnsiTheme="majorHAnsi" w:cstheme="majorHAnsi"/>
          <w:b/>
        </w:rPr>
        <w:tab/>
        <w:t>Site Visit</w:t>
      </w:r>
    </w:p>
    <w:p w14:paraId="315AB89B" w14:textId="77777777" w:rsidR="00C42084" w:rsidRPr="009D5AA5" w:rsidRDefault="00C42084" w:rsidP="00C42084">
      <w:pPr>
        <w:ind w:left="720" w:hanging="720"/>
        <w:jc w:val="both"/>
        <w:rPr>
          <w:rFonts w:asciiTheme="majorHAnsi" w:hAnsiTheme="majorHAnsi" w:cstheme="majorHAnsi"/>
          <w:b/>
        </w:rPr>
      </w:pPr>
    </w:p>
    <w:p w14:paraId="0068EF4C" w14:textId="77777777" w:rsidR="00C42084" w:rsidRPr="009D5AA5" w:rsidRDefault="00C42084" w:rsidP="00C42084">
      <w:pPr>
        <w:numPr>
          <w:ilvl w:val="1"/>
          <w:numId w:val="5"/>
        </w:numPr>
        <w:tabs>
          <w:tab w:val="clear" w:pos="1080"/>
          <w:tab w:val="left" w:pos="748"/>
        </w:tabs>
        <w:ind w:left="748" w:hanging="748"/>
        <w:jc w:val="both"/>
        <w:rPr>
          <w:rFonts w:asciiTheme="majorHAnsi" w:hAnsiTheme="majorHAnsi" w:cstheme="majorHAnsi"/>
        </w:rPr>
      </w:pPr>
      <w:r w:rsidRPr="009D5AA5">
        <w:rPr>
          <w:rFonts w:asciiTheme="majorHAnsi" w:hAnsiTheme="majorHAnsi" w:cstheme="majorHAnsi"/>
        </w:rPr>
        <w:t xml:space="preserve">The Tenderer is strongly advised to visit and examine the Site and its surroundings and obtain for himself on his own responsibility, all information that may be necessary for preparing his bid and </w:t>
      </w:r>
      <w:proofErr w:type="gramStart"/>
      <w:r w:rsidRPr="009D5AA5">
        <w:rPr>
          <w:rFonts w:asciiTheme="majorHAnsi" w:hAnsiTheme="majorHAnsi" w:cstheme="majorHAnsi"/>
        </w:rPr>
        <w:t>entering into</w:t>
      </w:r>
      <w:proofErr w:type="gramEnd"/>
      <w:r w:rsidRPr="009D5AA5">
        <w:rPr>
          <w:rFonts w:asciiTheme="majorHAnsi" w:hAnsiTheme="majorHAnsi" w:cstheme="majorHAnsi"/>
        </w:rPr>
        <w:t xml:space="preserve"> a Contract for execution.</w:t>
      </w:r>
    </w:p>
    <w:p w14:paraId="54B0FA0B" w14:textId="77777777" w:rsidR="00C42084" w:rsidRPr="009D5AA5" w:rsidRDefault="00C42084" w:rsidP="00C42084">
      <w:pPr>
        <w:tabs>
          <w:tab w:val="left" w:pos="748"/>
        </w:tabs>
        <w:ind w:left="748" w:hanging="748"/>
        <w:jc w:val="both"/>
        <w:rPr>
          <w:rFonts w:asciiTheme="majorHAnsi" w:hAnsiTheme="majorHAnsi" w:cstheme="majorHAnsi"/>
        </w:rPr>
      </w:pPr>
    </w:p>
    <w:p w14:paraId="2475641F" w14:textId="77777777" w:rsidR="00C42084" w:rsidRPr="009D5AA5" w:rsidRDefault="00C42084" w:rsidP="00C42084">
      <w:pPr>
        <w:jc w:val="both"/>
        <w:rPr>
          <w:rFonts w:asciiTheme="majorHAnsi" w:hAnsiTheme="majorHAnsi" w:cstheme="majorHAnsi"/>
          <w:sz w:val="14"/>
        </w:rPr>
      </w:pPr>
    </w:p>
    <w:p w14:paraId="0954E144"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5.</w:t>
      </w:r>
      <w:r w:rsidRPr="009D5AA5">
        <w:rPr>
          <w:rFonts w:asciiTheme="majorHAnsi" w:hAnsiTheme="majorHAnsi" w:cstheme="majorHAnsi"/>
          <w:b/>
        </w:rPr>
        <w:tab/>
        <w:t>Contents of Tender Documents</w:t>
      </w:r>
    </w:p>
    <w:p w14:paraId="1852A561" w14:textId="77777777" w:rsidR="00C42084" w:rsidRPr="009D5AA5" w:rsidRDefault="00C42084" w:rsidP="00C42084">
      <w:pPr>
        <w:jc w:val="both"/>
        <w:rPr>
          <w:rFonts w:asciiTheme="majorHAnsi" w:hAnsiTheme="majorHAnsi" w:cstheme="majorHAnsi"/>
          <w:b/>
        </w:rPr>
      </w:pPr>
    </w:p>
    <w:p w14:paraId="359F2C24" w14:textId="77777777" w:rsidR="00C42084" w:rsidRPr="009D5AA5" w:rsidRDefault="00C42084" w:rsidP="00C42084">
      <w:pPr>
        <w:numPr>
          <w:ilvl w:val="1"/>
          <w:numId w:val="6"/>
        </w:numPr>
        <w:tabs>
          <w:tab w:val="clear" w:pos="1440"/>
          <w:tab w:val="num" w:pos="748"/>
        </w:tabs>
        <w:ind w:left="748" w:hanging="748"/>
        <w:jc w:val="both"/>
        <w:rPr>
          <w:rFonts w:asciiTheme="majorHAnsi" w:hAnsiTheme="majorHAnsi" w:cstheme="majorHAnsi"/>
        </w:rPr>
      </w:pPr>
      <w:r w:rsidRPr="009D5AA5">
        <w:rPr>
          <w:rFonts w:asciiTheme="majorHAnsi" w:hAnsiTheme="majorHAnsi" w:cstheme="majorHAnsi"/>
        </w:rPr>
        <w:t>The set of documents for the purpose of Tendering include the following together with any amendments issued to Tenderers.</w:t>
      </w:r>
    </w:p>
    <w:p w14:paraId="366D39DE" w14:textId="77777777" w:rsidR="00C42084" w:rsidRPr="009D5AA5" w:rsidRDefault="00C42084" w:rsidP="00C42084">
      <w:pPr>
        <w:ind w:left="720"/>
        <w:jc w:val="both"/>
        <w:rPr>
          <w:rFonts w:asciiTheme="majorHAnsi" w:hAnsiTheme="majorHAnsi" w:cstheme="majorHAnsi"/>
        </w:rPr>
      </w:pPr>
    </w:p>
    <w:p w14:paraId="1751DCDB"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Instructions to Tenderers</w:t>
      </w:r>
    </w:p>
    <w:p w14:paraId="21DB975A"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Annexures</w:t>
      </w:r>
    </w:p>
    <w:p w14:paraId="004A2E64"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Conditions of Contract</w:t>
      </w:r>
    </w:p>
    <w:p w14:paraId="03B92126" w14:textId="1C966807" w:rsidR="00C42084" w:rsidRPr="009D5AA5" w:rsidRDefault="005572B5"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Quantity of waste with price</w:t>
      </w:r>
    </w:p>
    <w:p w14:paraId="70397037" w14:textId="77777777" w:rsidR="00C42084" w:rsidRPr="009D5AA5" w:rsidRDefault="00C42084" w:rsidP="00C42084">
      <w:pPr>
        <w:tabs>
          <w:tab w:val="left" w:pos="748"/>
        </w:tabs>
        <w:ind w:left="1440"/>
        <w:jc w:val="both"/>
        <w:rPr>
          <w:rFonts w:asciiTheme="majorHAnsi" w:hAnsiTheme="majorHAnsi" w:cstheme="majorHAnsi"/>
        </w:rPr>
      </w:pPr>
    </w:p>
    <w:p w14:paraId="6692DDC5" w14:textId="77777777" w:rsidR="00C42084" w:rsidRPr="009D5AA5" w:rsidRDefault="00C42084" w:rsidP="00C42084">
      <w:pPr>
        <w:numPr>
          <w:ilvl w:val="1"/>
          <w:numId w:val="6"/>
        </w:numPr>
        <w:tabs>
          <w:tab w:val="clear" w:pos="1440"/>
          <w:tab w:val="num" w:pos="748"/>
        </w:tabs>
        <w:ind w:left="748" w:hanging="748"/>
        <w:jc w:val="both"/>
        <w:rPr>
          <w:rFonts w:asciiTheme="majorHAnsi" w:hAnsiTheme="majorHAnsi" w:cstheme="majorHAnsi"/>
        </w:rPr>
      </w:pPr>
      <w:r w:rsidRPr="009D5AA5">
        <w:rPr>
          <w:rFonts w:asciiTheme="majorHAnsi" w:hAnsiTheme="majorHAnsi" w:cstheme="majorHAnsi"/>
        </w:rPr>
        <w:t>The Tenderer is expected to examine carefully all the above documents. Failure to comply with the requirements of Tender submission will be at the Tenderer’s own risk. Tenders which are not substantially responsive to the requirements of the Tender documents will be rejected.</w:t>
      </w:r>
    </w:p>
    <w:p w14:paraId="2B52CF12" w14:textId="77777777" w:rsidR="00C42084" w:rsidRPr="009D5AA5" w:rsidRDefault="00C42084" w:rsidP="00C42084">
      <w:pPr>
        <w:ind w:left="720"/>
        <w:jc w:val="both"/>
        <w:rPr>
          <w:rFonts w:asciiTheme="majorHAnsi" w:hAnsiTheme="majorHAnsi" w:cstheme="majorHAnsi"/>
        </w:rPr>
      </w:pPr>
    </w:p>
    <w:p w14:paraId="22DEACB9" w14:textId="77777777" w:rsidR="00C42084" w:rsidRPr="009D5AA5" w:rsidRDefault="00C42084" w:rsidP="00C42084">
      <w:pPr>
        <w:numPr>
          <w:ilvl w:val="0"/>
          <w:numId w:val="7"/>
        </w:numPr>
        <w:tabs>
          <w:tab w:val="clear" w:pos="1080"/>
        </w:tabs>
        <w:ind w:left="720"/>
        <w:jc w:val="both"/>
        <w:rPr>
          <w:rFonts w:asciiTheme="majorHAnsi" w:hAnsiTheme="majorHAnsi" w:cstheme="majorHAnsi"/>
          <w:b/>
        </w:rPr>
      </w:pPr>
      <w:r w:rsidRPr="009D5AA5">
        <w:rPr>
          <w:rFonts w:asciiTheme="majorHAnsi" w:hAnsiTheme="majorHAnsi" w:cstheme="majorHAnsi"/>
          <w:b/>
        </w:rPr>
        <w:t>Clarification of Tender Documents</w:t>
      </w:r>
    </w:p>
    <w:p w14:paraId="5394FE1D" w14:textId="77777777" w:rsidR="00C42084" w:rsidRPr="009D5AA5" w:rsidRDefault="00C42084" w:rsidP="00C42084">
      <w:pPr>
        <w:jc w:val="both"/>
        <w:rPr>
          <w:rFonts w:asciiTheme="majorHAnsi" w:hAnsiTheme="majorHAnsi" w:cstheme="majorHAnsi"/>
          <w:b/>
        </w:rPr>
      </w:pPr>
    </w:p>
    <w:p w14:paraId="15E56E43" w14:textId="654D88F2" w:rsidR="00C42084" w:rsidRPr="009D5AA5" w:rsidRDefault="00C42084" w:rsidP="00C42084">
      <w:pPr>
        <w:pStyle w:val="BodyTextIndent"/>
        <w:numPr>
          <w:ilvl w:val="1"/>
          <w:numId w:val="0"/>
        </w:numPr>
        <w:tabs>
          <w:tab w:val="num" w:pos="1800"/>
        </w:tabs>
        <w:ind w:left="720"/>
        <w:rPr>
          <w:rFonts w:asciiTheme="majorHAnsi" w:hAnsiTheme="majorHAnsi" w:cstheme="majorHAnsi"/>
        </w:rPr>
      </w:pPr>
      <w:r w:rsidRPr="009D5AA5">
        <w:rPr>
          <w:rFonts w:asciiTheme="majorHAnsi" w:hAnsiTheme="majorHAnsi" w:cstheme="majorHAnsi"/>
        </w:rPr>
        <w:t xml:space="preserve">A prospective Tenderer requiring any clarification of these Tender documents may notify the </w:t>
      </w:r>
      <w:r w:rsidR="005572B5" w:rsidRPr="009D5AA5">
        <w:rPr>
          <w:rFonts w:asciiTheme="majorHAnsi" w:hAnsiTheme="majorHAnsi" w:cstheme="majorHAnsi"/>
        </w:rPr>
        <w:t xml:space="preserve">buyer team </w:t>
      </w:r>
      <w:r w:rsidRPr="009D5AA5">
        <w:rPr>
          <w:rFonts w:asciiTheme="majorHAnsi" w:hAnsiTheme="majorHAnsi" w:cstheme="majorHAnsi"/>
        </w:rPr>
        <w:t>by email</w:t>
      </w:r>
      <w:r w:rsidR="00635566">
        <w:rPr>
          <w:rFonts w:asciiTheme="majorHAnsi" w:hAnsiTheme="majorHAnsi" w:cstheme="majorHAnsi"/>
        </w:rPr>
        <w:t xml:space="preserve"> to </w:t>
      </w:r>
      <w:hyperlink r:id="rId7" w:history="1">
        <w:r w:rsidR="00635566" w:rsidRPr="00FF30A2">
          <w:rPr>
            <w:rStyle w:val="Hyperlink"/>
            <w:rFonts w:asciiTheme="majorHAnsi" w:hAnsiTheme="majorHAnsi" w:cstheme="majorHAnsi"/>
          </w:rPr>
          <w:t>narendra.rawal@apmterminals.com</w:t>
        </w:r>
      </w:hyperlink>
      <w:r w:rsidR="00635566">
        <w:rPr>
          <w:rFonts w:asciiTheme="majorHAnsi" w:hAnsiTheme="majorHAnsi" w:cstheme="majorHAnsi"/>
        </w:rPr>
        <w:t xml:space="preserve"> </w:t>
      </w:r>
      <w:r w:rsidRPr="009D5AA5">
        <w:rPr>
          <w:rFonts w:asciiTheme="majorHAnsi" w:hAnsiTheme="majorHAnsi" w:cstheme="majorHAnsi"/>
        </w:rPr>
        <w:t xml:space="preserve"> </w:t>
      </w:r>
      <w:r w:rsidR="005572B5" w:rsidRPr="009D5AA5">
        <w:rPr>
          <w:rFonts w:asciiTheme="majorHAnsi" w:hAnsiTheme="majorHAnsi" w:cstheme="majorHAnsi"/>
        </w:rPr>
        <w:t>mentioned in website</w:t>
      </w:r>
      <w:r w:rsidRPr="009D5AA5">
        <w:rPr>
          <w:rFonts w:asciiTheme="majorHAnsi" w:hAnsiTheme="majorHAnsi" w:cstheme="majorHAnsi"/>
        </w:rPr>
        <w:t xml:space="preserve">.  </w:t>
      </w:r>
    </w:p>
    <w:p w14:paraId="1DC3BE02" w14:textId="77777777" w:rsidR="00C42084" w:rsidRPr="009D5AA5" w:rsidRDefault="00C42084" w:rsidP="00C42084">
      <w:pPr>
        <w:pStyle w:val="BodyTextIndent"/>
        <w:rPr>
          <w:rFonts w:asciiTheme="majorHAnsi" w:hAnsiTheme="majorHAnsi" w:cstheme="majorHAnsi"/>
          <w:b/>
        </w:rPr>
      </w:pPr>
    </w:p>
    <w:p w14:paraId="795D1902" w14:textId="77777777" w:rsidR="00C42084" w:rsidRPr="009D5AA5" w:rsidRDefault="00C42084" w:rsidP="00C42084">
      <w:pPr>
        <w:pStyle w:val="BodyTextIndent"/>
        <w:tabs>
          <w:tab w:val="num" w:pos="1350"/>
          <w:tab w:val="left" w:pos="1440"/>
        </w:tabs>
        <w:ind w:left="1350" w:hanging="810"/>
        <w:rPr>
          <w:rFonts w:asciiTheme="majorHAnsi" w:hAnsiTheme="majorHAnsi" w:cstheme="majorHAnsi"/>
          <w:sz w:val="10"/>
        </w:rPr>
      </w:pPr>
    </w:p>
    <w:p w14:paraId="03954A1B" w14:textId="77777777" w:rsidR="00C42084" w:rsidRPr="009D5AA5" w:rsidRDefault="00C42084" w:rsidP="00C42084">
      <w:pPr>
        <w:pStyle w:val="BodyTextIndent"/>
        <w:numPr>
          <w:ilvl w:val="0"/>
          <w:numId w:val="8"/>
        </w:numPr>
        <w:tabs>
          <w:tab w:val="clear" w:pos="1170"/>
        </w:tabs>
        <w:ind w:left="748" w:hanging="748"/>
        <w:rPr>
          <w:rFonts w:asciiTheme="majorHAnsi" w:hAnsiTheme="majorHAnsi" w:cstheme="majorHAnsi"/>
          <w:b/>
        </w:rPr>
      </w:pPr>
      <w:r w:rsidRPr="009D5AA5">
        <w:rPr>
          <w:rFonts w:asciiTheme="majorHAnsi" w:hAnsiTheme="majorHAnsi" w:cstheme="majorHAnsi"/>
          <w:b/>
        </w:rPr>
        <w:t>PREPARATION OF TENDERS</w:t>
      </w:r>
    </w:p>
    <w:p w14:paraId="1148A256" w14:textId="77777777" w:rsidR="00C42084" w:rsidRPr="009D5AA5" w:rsidRDefault="00C42084" w:rsidP="00C42084">
      <w:pPr>
        <w:pStyle w:val="BodyTextIndent"/>
        <w:tabs>
          <w:tab w:val="num" w:pos="810"/>
        </w:tabs>
        <w:ind w:left="810" w:hanging="810"/>
        <w:rPr>
          <w:rFonts w:asciiTheme="majorHAnsi" w:hAnsiTheme="majorHAnsi" w:cstheme="majorHAnsi"/>
        </w:rPr>
      </w:pPr>
    </w:p>
    <w:p w14:paraId="2A887D62" w14:textId="77777777" w:rsidR="00C42084" w:rsidRPr="009D5AA5" w:rsidRDefault="00C42084" w:rsidP="00C42084">
      <w:pPr>
        <w:pStyle w:val="BodyTextIndent"/>
        <w:ind w:left="0" w:firstLine="0"/>
        <w:rPr>
          <w:rFonts w:asciiTheme="majorHAnsi" w:hAnsiTheme="majorHAnsi" w:cstheme="majorHAnsi"/>
          <w:b/>
        </w:rPr>
      </w:pPr>
      <w:r w:rsidRPr="009D5AA5">
        <w:rPr>
          <w:rFonts w:asciiTheme="majorHAnsi" w:hAnsiTheme="majorHAnsi" w:cstheme="majorHAnsi"/>
          <w:b/>
        </w:rPr>
        <w:t>7</w:t>
      </w:r>
      <w:r w:rsidRPr="009D5AA5">
        <w:rPr>
          <w:rFonts w:asciiTheme="majorHAnsi" w:hAnsiTheme="majorHAnsi" w:cstheme="majorHAnsi"/>
          <w:b/>
        </w:rPr>
        <w:tab/>
        <w:t>Language of Tender</w:t>
      </w:r>
    </w:p>
    <w:p w14:paraId="513EDEA9" w14:textId="77777777" w:rsidR="00C42084" w:rsidRPr="009D5AA5" w:rsidRDefault="00C42084" w:rsidP="00C42084">
      <w:pPr>
        <w:pStyle w:val="BodyTextIndent"/>
        <w:tabs>
          <w:tab w:val="left" w:pos="1350"/>
        </w:tabs>
        <w:ind w:left="1350" w:hanging="810"/>
        <w:rPr>
          <w:rFonts w:asciiTheme="majorHAnsi" w:hAnsiTheme="majorHAnsi" w:cstheme="majorHAnsi"/>
          <w:b/>
        </w:rPr>
      </w:pPr>
    </w:p>
    <w:p w14:paraId="73F0CCDD"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7.1</w:t>
      </w:r>
      <w:r w:rsidRPr="009D5AA5">
        <w:rPr>
          <w:rFonts w:asciiTheme="majorHAnsi" w:hAnsiTheme="majorHAnsi" w:cstheme="majorHAnsi"/>
        </w:rPr>
        <w:tab/>
        <w:t xml:space="preserve">The Tender prepared by the Tenderer and all correspondence and documents relating </w:t>
      </w:r>
      <w:r w:rsidRPr="009D5AA5">
        <w:rPr>
          <w:rFonts w:asciiTheme="majorHAnsi" w:hAnsiTheme="majorHAnsi" w:cstheme="majorHAnsi"/>
        </w:rPr>
        <w:tab/>
        <w:t xml:space="preserve">to the Tender shall be written in the English language. Supporting documents and </w:t>
      </w:r>
      <w:r w:rsidRPr="009D5AA5">
        <w:rPr>
          <w:rFonts w:asciiTheme="majorHAnsi" w:hAnsiTheme="majorHAnsi" w:cstheme="majorHAnsi"/>
        </w:rPr>
        <w:tab/>
        <w:t xml:space="preserve">printed literature furnished by the Tenderer with the Tender may be in another </w:t>
      </w:r>
      <w:r w:rsidRPr="009D5AA5">
        <w:rPr>
          <w:rFonts w:asciiTheme="majorHAnsi" w:hAnsiTheme="majorHAnsi" w:cstheme="majorHAnsi"/>
        </w:rPr>
        <w:tab/>
        <w:t xml:space="preserve">language provided they are accompanied by an appropriate translation of pertinent </w:t>
      </w:r>
      <w:r w:rsidRPr="009D5AA5">
        <w:rPr>
          <w:rFonts w:asciiTheme="majorHAnsi" w:hAnsiTheme="majorHAnsi" w:cstheme="majorHAnsi"/>
        </w:rPr>
        <w:tab/>
        <w:t xml:space="preserve">passages in English language. </w:t>
      </w:r>
      <w:proofErr w:type="gramStart"/>
      <w:r w:rsidRPr="009D5AA5">
        <w:rPr>
          <w:rFonts w:asciiTheme="majorHAnsi" w:hAnsiTheme="majorHAnsi" w:cstheme="majorHAnsi"/>
        </w:rPr>
        <w:t>For the purpose of</w:t>
      </w:r>
      <w:proofErr w:type="gramEnd"/>
      <w:r w:rsidRPr="009D5AA5">
        <w:rPr>
          <w:rFonts w:asciiTheme="majorHAnsi" w:hAnsiTheme="majorHAnsi" w:cstheme="majorHAnsi"/>
        </w:rPr>
        <w:t xml:space="preserve"> interpretation of the Tender, the </w:t>
      </w:r>
      <w:r w:rsidRPr="009D5AA5">
        <w:rPr>
          <w:rFonts w:asciiTheme="majorHAnsi" w:hAnsiTheme="majorHAnsi" w:cstheme="majorHAnsi"/>
        </w:rPr>
        <w:tab/>
        <w:t>English language shall prevail.</w:t>
      </w:r>
    </w:p>
    <w:p w14:paraId="77F02175"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52408A5A"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11087A7C" w14:textId="77777777" w:rsidR="00C42084" w:rsidRPr="009D5AA5" w:rsidRDefault="00C42084" w:rsidP="00C42084">
      <w:pPr>
        <w:pStyle w:val="BodyTextIndent"/>
        <w:tabs>
          <w:tab w:val="left" w:pos="0"/>
          <w:tab w:val="num" w:pos="748"/>
        </w:tabs>
        <w:ind w:left="90" w:firstLine="0"/>
        <w:rPr>
          <w:rFonts w:asciiTheme="majorHAnsi" w:hAnsiTheme="majorHAnsi" w:cstheme="majorHAnsi"/>
          <w:b/>
        </w:rPr>
      </w:pPr>
      <w:r w:rsidRPr="009D5AA5">
        <w:rPr>
          <w:rFonts w:asciiTheme="majorHAnsi" w:hAnsiTheme="majorHAnsi" w:cstheme="majorHAnsi"/>
        </w:rPr>
        <w:t>8.</w:t>
      </w:r>
      <w:r w:rsidRPr="009D5AA5">
        <w:rPr>
          <w:rFonts w:asciiTheme="majorHAnsi" w:hAnsiTheme="majorHAnsi" w:cstheme="majorHAnsi"/>
        </w:rPr>
        <w:tab/>
      </w:r>
      <w:r w:rsidRPr="009D5AA5">
        <w:rPr>
          <w:rFonts w:asciiTheme="majorHAnsi" w:hAnsiTheme="majorHAnsi" w:cstheme="majorHAnsi"/>
          <w:b/>
        </w:rPr>
        <w:t>Tender Prices</w:t>
      </w:r>
    </w:p>
    <w:p w14:paraId="0D4FAE15" w14:textId="77777777" w:rsidR="00C42084" w:rsidRPr="009D5AA5" w:rsidRDefault="00C42084" w:rsidP="00C42084">
      <w:pPr>
        <w:pStyle w:val="BodyTextIndent"/>
        <w:ind w:left="0" w:hanging="630"/>
        <w:rPr>
          <w:rFonts w:asciiTheme="majorHAnsi" w:hAnsiTheme="majorHAnsi" w:cstheme="majorHAnsi"/>
          <w:b/>
        </w:rPr>
      </w:pPr>
    </w:p>
    <w:p w14:paraId="44D61699" w14:textId="77777777"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Unless explicitly stated otherwise in the Tender Documents, the Contract shall be for </w:t>
      </w:r>
      <w:r w:rsidRPr="009D5AA5">
        <w:rPr>
          <w:rFonts w:asciiTheme="majorHAnsi" w:hAnsiTheme="majorHAnsi" w:cstheme="majorHAnsi"/>
        </w:rPr>
        <w:tab/>
        <w:t>the whole Works as described in the Tender Documents.</w:t>
      </w:r>
    </w:p>
    <w:p w14:paraId="6B38F367" w14:textId="0367FBE7" w:rsidR="00C42084" w:rsidRPr="009D5AA5" w:rsidRDefault="00C42084" w:rsidP="005572B5">
      <w:pPr>
        <w:pStyle w:val="BodyTextIndent"/>
        <w:ind w:firstLine="0"/>
        <w:rPr>
          <w:rFonts w:asciiTheme="majorHAnsi" w:hAnsiTheme="majorHAnsi" w:cstheme="majorHAnsi"/>
        </w:rPr>
      </w:pPr>
      <w:r w:rsidRPr="009D5AA5">
        <w:rPr>
          <w:rFonts w:asciiTheme="majorHAnsi" w:hAnsiTheme="majorHAnsi" w:cstheme="majorHAnsi"/>
        </w:rPr>
        <w:t xml:space="preserve">The Tenderer shall fill in rates and prices for all items of Works described </w:t>
      </w:r>
      <w:r w:rsidR="005572B5" w:rsidRPr="009D5AA5">
        <w:rPr>
          <w:rFonts w:asciiTheme="majorHAnsi" w:hAnsiTheme="majorHAnsi" w:cstheme="majorHAnsi"/>
        </w:rPr>
        <w:t xml:space="preserve">against </w:t>
      </w:r>
      <w:proofErr w:type="gramStart"/>
      <w:r w:rsidR="005572B5" w:rsidRPr="009D5AA5">
        <w:rPr>
          <w:rFonts w:asciiTheme="majorHAnsi" w:hAnsiTheme="majorHAnsi" w:cstheme="majorHAnsi"/>
        </w:rPr>
        <w:t xml:space="preserve">the </w:t>
      </w:r>
      <w:r w:rsidRPr="009D5AA5">
        <w:rPr>
          <w:rFonts w:asciiTheme="majorHAnsi" w:hAnsiTheme="majorHAnsi" w:cstheme="majorHAnsi"/>
        </w:rPr>
        <w:t xml:space="preserve"> Quantities</w:t>
      </w:r>
      <w:proofErr w:type="gramEnd"/>
    </w:p>
    <w:p w14:paraId="4737723B" w14:textId="77777777" w:rsidR="005572B5" w:rsidRPr="009D5AA5" w:rsidRDefault="005572B5" w:rsidP="005572B5">
      <w:pPr>
        <w:pStyle w:val="BodyTextIndent"/>
        <w:ind w:firstLine="0"/>
        <w:rPr>
          <w:rFonts w:asciiTheme="majorHAnsi" w:hAnsiTheme="majorHAnsi" w:cstheme="majorHAnsi"/>
        </w:rPr>
      </w:pPr>
    </w:p>
    <w:p w14:paraId="02DEA1A5" w14:textId="197FB893" w:rsidR="005572B5" w:rsidRPr="009D5AA5" w:rsidRDefault="00C42084" w:rsidP="005572B5">
      <w:pPr>
        <w:pStyle w:val="BodyTextIndent"/>
        <w:numPr>
          <w:ilvl w:val="1"/>
          <w:numId w:val="12"/>
        </w:numPr>
        <w:ind w:left="748" w:hanging="748"/>
        <w:rPr>
          <w:rFonts w:asciiTheme="majorHAnsi" w:hAnsiTheme="majorHAnsi" w:cstheme="majorHAnsi"/>
        </w:rPr>
      </w:pPr>
      <w:r w:rsidRPr="009D5AA5">
        <w:rPr>
          <w:rFonts w:asciiTheme="majorHAnsi" w:hAnsiTheme="majorHAnsi" w:cstheme="majorHAnsi"/>
        </w:rPr>
        <w:tab/>
      </w:r>
      <w:r w:rsidR="005572B5" w:rsidRPr="009D5AA5">
        <w:rPr>
          <w:rFonts w:asciiTheme="majorHAnsi" w:hAnsiTheme="majorHAnsi" w:cstheme="majorHAnsi"/>
        </w:rPr>
        <w:t>GST shall be charged extra on an above the amount as per invoice</w:t>
      </w:r>
    </w:p>
    <w:p w14:paraId="42256134" w14:textId="4681ABD2" w:rsidR="00C42084" w:rsidRPr="009D5AA5" w:rsidRDefault="00C42084" w:rsidP="005572B5">
      <w:pPr>
        <w:pStyle w:val="BodyTextIndent"/>
        <w:ind w:left="748" w:firstLine="0"/>
        <w:rPr>
          <w:rFonts w:asciiTheme="majorHAnsi" w:hAnsiTheme="majorHAnsi" w:cstheme="majorHAnsi"/>
        </w:rPr>
      </w:pPr>
    </w:p>
    <w:p w14:paraId="77A968F5" w14:textId="77777777" w:rsidR="00F64D4B" w:rsidRPr="009D5AA5" w:rsidRDefault="00F64D4B" w:rsidP="005572B5">
      <w:pPr>
        <w:pStyle w:val="BodyTextIndent"/>
        <w:ind w:left="748" w:firstLine="0"/>
        <w:rPr>
          <w:rFonts w:asciiTheme="majorHAnsi" w:hAnsiTheme="majorHAnsi" w:cstheme="majorHAnsi"/>
        </w:rPr>
      </w:pPr>
    </w:p>
    <w:p w14:paraId="2F0ECCD3" w14:textId="77777777" w:rsidR="00C42084" w:rsidRPr="009D5AA5" w:rsidRDefault="00C42084" w:rsidP="00C42084">
      <w:pPr>
        <w:pStyle w:val="BodyTextIndent"/>
        <w:ind w:left="0" w:firstLine="0"/>
        <w:rPr>
          <w:rFonts w:asciiTheme="majorHAnsi" w:hAnsiTheme="majorHAnsi" w:cstheme="majorHAnsi"/>
        </w:rPr>
      </w:pPr>
    </w:p>
    <w:p w14:paraId="65D498AF" w14:textId="77777777" w:rsidR="00C42084" w:rsidRPr="009D5AA5" w:rsidRDefault="00C42084" w:rsidP="00C42084">
      <w:pPr>
        <w:pStyle w:val="BodyTextIndent"/>
        <w:numPr>
          <w:ilvl w:val="0"/>
          <w:numId w:val="12"/>
        </w:numPr>
        <w:tabs>
          <w:tab w:val="num" w:pos="1440"/>
          <w:tab w:val="num" w:pos="1800"/>
        </w:tabs>
        <w:rPr>
          <w:rFonts w:asciiTheme="majorHAnsi" w:hAnsiTheme="majorHAnsi" w:cstheme="majorHAnsi"/>
          <w:b/>
        </w:rPr>
      </w:pPr>
      <w:r w:rsidRPr="009D5AA5">
        <w:rPr>
          <w:rFonts w:asciiTheme="majorHAnsi" w:hAnsiTheme="majorHAnsi" w:cstheme="majorHAnsi"/>
          <w:b/>
        </w:rPr>
        <w:t xml:space="preserve">      Bid Validity</w:t>
      </w:r>
    </w:p>
    <w:p w14:paraId="27F27034" w14:textId="77777777" w:rsidR="00C42084" w:rsidRPr="009D5AA5" w:rsidRDefault="00C42084" w:rsidP="00C42084">
      <w:pPr>
        <w:pStyle w:val="BodyTextIndent"/>
        <w:tabs>
          <w:tab w:val="num" w:pos="720"/>
        </w:tabs>
        <w:ind w:left="90"/>
        <w:rPr>
          <w:rFonts w:asciiTheme="majorHAnsi" w:hAnsiTheme="majorHAnsi" w:cstheme="majorHAnsi"/>
          <w:b/>
        </w:rPr>
      </w:pPr>
    </w:p>
    <w:p w14:paraId="1AC753AF" w14:textId="09B2881C"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The Tender shall remain valid and open for acceptance for a period of </w:t>
      </w:r>
      <w:r w:rsidR="005572B5" w:rsidRPr="009D5AA5">
        <w:rPr>
          <w:rFonts w:asciiTheme="majorHAnsi" w:hAnsiTheme="majorHAnsi" w:cstheme="majorHAnsi"/>
        </w:rPr>
        <w:t>6</w:t>
      </w:r>
      <w:r w:rsidRPr="009D5AA5">
        <w:rPr>
          <w:rFonts w:asciiTheme="majorHAnsi" w:hAnsiTheme="majorHAnsi" w:cstheme="majorHAnsi"/>
        </w:rPr>
        <w:t xml:space="preserve">0 days from </w:t>
      </w:r>
      <w:r w:rsidRPr="009D5AA5">
        <w:rPr>
          <w:rFonts w:asciiTheme="majorHAnsi" w:hAnsiTheme="majorHAnsi" w:cstheme="majorHAnsi"/>
        </w:rPr>
        <w:tab/>
        <w:t>the specified date of submission.</w:t>
      </w:r>
    </w:p>
    <w:p w14:paraId="6BE21D6A" w14:textId="77777777" w:rsidR="00C42084" w:rsidRPr="009D5AA5" w:rsidRDefault="00C42084" w:rsidP="00C42084">
      <w:pPr>
        <w:pStyle w:val="BodyTextIndent"/>
        <w:tabs>
          <w:tab w:val="num" w:pos="720"/>
        </w:tabs>
        <w:ind w:left="1440"/>
        <w:rPr>
          <w:rFonts w:asciiTheme="majorHAnsi" w:hAnsiTheme="majorHAnsi" w:cstheme="majorHAnsi"/>
        </w:rPr>
      </w:pPr>
    </w:p>
    <w:p w14:paraId="5C8F583A" w14:textId="77777777" w:rsidR="00C42084" w:rsidRPr="009D5AA5" w:rsidRDefault="00C42084" w:rsidP="00C42084">
      <w:pPr>
        <w:pStyle w:val="BodyTextIndent"/>
        <w:numPr>
          <w:ilvl w:val="0"/>
          <w:numId w:val="12"/>
        </w:numPr>
        <w:rPr>
          <w:rFonts w:asciiTheme="majorHAnsi" w:hAnsiTheme="majorHAnsi" w:cstheme="majorHAnsi"/>
          <w:b/>
        </w:rPr>
      </w:pPr>
      <w:r w:rsidRPr="009D5AA5">
        <w:rPr>
          <w:rFonts w:asciiTheme="majorHAnsi" w:hAnsiTheme="majorHAnsi" w:cstheme="majorHAnsi"/>
        </w:rPr>
        <w:tab/>
      </w:r>
      <w:r w:rsidRPr="009D5AA5">
        <w:rPr>
          <w:rFonts w:asciiTheme="majorHAnsi" w:hAnsiTheme="majorHAnsi" w:cstheme="majorHAnsi"/>
          <w:b/>
        </w:rPr>
        <w:t>Bid Security</w:t>
      </w:r>
    </w:p>
    <w:p w14:paraId="0238987E" w14:textId="77777777" w:rsidR="00C42084" w:rsidRPr="009D5AA5" w:rsidRDefault="00C42084" w:rsidP="00C42084">
      <w:pPr>
        <w:pStyle w:val="BodyTextIndent"/>
        <w:tabs>
          <w:tab w:val="num" w:pos="720"/>
        </w:tabs>
        <w:ind w:left="90"/>
        <w:rPr>
          <w:rFonts w:asciiTheme="majorHAnsi" w:hAnsiTheme="majorHAnsi" w:cstheme="majorHAnsi"/>
          <w:b/>
        </w:rPr>
      </w:pPr>
    </w:p>
    <w:p w14:paraId="503ED112" w14:textId="457348DF"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10.1</w:t>
      </w:r>
      <w:r w:rsidRPr="009D5AA5">
        <w:rPr>
          <w:rFonts w:asciiTheme="majorHAnsi" w:hAnsiTheme="majorHAnsi" w:cstheme="majorHAnsi"/>
        </w:rPr>
        <w:tab/>
        <w:t xml:space="preserve">The Tenderer shall furnish, as part of his Tender, a Bid security of Rs </w:t>
      </w:r>
      <w:r w:rsidR="005572B5" w:rsidRPr="009D5AA5">
        <w:rPr>
          <w:rFonts w:asciiTheme="majorHAnsi" w:hAnsiTheme="majorHAnsi" w:cstheme="majorHAnsi"/>
          <w:b/>
          <w:bCs/>
        </w:rPr>
        <w:t>300</w:t>
      </w:r>
      <w:r w:rsidRPr="009D5AA5">
        <w:rPr>
          <w:rFonts w:asciiTheme="majorHAnsi" w:hAnsiTheme="majorHAnsi" w:cstheme="majorHAnsi"/>
          <w:b/>
          <w:bCs/>
        </w:rPr>
        <w:t>,000/-.</w:t>
      </w:r>
    </w:p>
    <w:p w14:paraId="14E77B55"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 xml:space="preserve"> </w:t>
      </w:r>
    </w:p>
    <w:p w14:paraId="0F73238E" w14:textId="4FCF4C58"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10.2</w:t>
      </w:r>
      <w:r w:rsidRPr="009D5AA5">
        <w:rPr>
          <w:rFonts w:asciiTheme="majorHAnsi" w:hAnsiTheme="majorHAnsi" w:cstheme="majorHAnsi"/>
        </w:rPr>
        <w:tab/>
        <w:t xml:space="preserve">The Bid Security shall be in the form of a </w:t>
      </w:r>
      <w:r w:rsidR="005572B5" w:rsidRPr="009D5AA5">
        <w:rPr>
          <w:rFonts w:asciiTheme="majorHAnsi" w:hAnsiTheme="majorHAnsi" w:cstheme="majorHAnsi"/>
        </w:rPr>
        <w:t>DD payable to GPPL</w:t>
      </w:r>
      <w:r w:rsidRPr="009D5AA5">
        <w:rPr>
          <w:rFonts w:asciiTheme="majorHAnsi" w:hAnsiTheme="majorHAnsi" w:cstheme="majorHAnsi"/>
        </w:rPr>
        <w:t xml:space="preserve"> any nationalize bank</w:t>
      </w:r>
      <w:r w:rsidR="005572B5" w:rsidRPr="009D5AA5">
        <w:rPr>
          <w:rFonts w:asciiTheme="majorHAnsi" w:hAnsiTheme="majorHAnsi" w:cstheme="majorHAnsi"/>
        </w:rPr>
        <w:t xml:space="preserve"> or cheque payable to GPPL. </w:t>
      </w:r>
    </w:p>
    <w:p w14:paraId="4F27B07D" w14:textId="77777777" w:rsidR="00C42084" w:rsidRPr="009D5AA5" w:rsidRDefault="00C42084" w:rsidP="00C42084">
      <w:pPr>
        <w:pStyle w:val="BodyTextIndent"/>
        <w:ind w:left="1440"/>
        <w:rPr>
          <w:rFonts w:asciiTheme="majorHAnsi" w:hAnsiTheme="majorHAnsi" w:cstheme="majorHAnsi"/>
        </w:rPr>
      </w:pPr>
    </w:p>
    <w:p w14:paraId="40AA8433" w14:textId="77777777" w:rsidR="00C42084" w:rsidRPr="009D5AA5" w:rsidRDefault="00C42084" w:rsidP="00C42084">
      <w:pPr>
        <w:pStyle w:val="BodyTextIndent"/>
        <w:numPr>
          <w:ilvl w:val="1"/>
          <w:numId w:val="13"/>
        </w:numPr>
        <w:tabs>
          <w:tab w:val="left" w:pos="748"/>
        </w:tabs>
        <w:rPr>
          <w:rFonts w:asciiTheme="majorHAnsi" w:hAnsiTheme="majorHAnsi" w:cstheme="majorHAnsi"/>
        </w:rPr>
      </w:pPr>
      <w:r w:rsidRPr="009D5AA5">
        <w:rPr>
          <w:rFonts w:asciiTheme="majorHAnsi" w:hAnsiTheme="majorHAnsi" w:cstheme="majorHAnsi"/>
        </w:rPr>
        <w:tab/>
        <w:t>Any Tender not accompanied by an acceptable Bid Security will be rejected as non-</w:t>
      </w:r>
      <w:r w:rsidRPr="009D5AA5">
        <w:rPr>
          <w:rFonts w:asciiTheme="majorHAnsi" w:hAnsiTheme="majorHAnsi" w:cstheme="majorHAnsi"/>
        </w:rPr>
        <w:tab/>
        <w:t>responsive.</w:t>
      </w:r>
    </w:p>
    <w:p w14:paraId="689E7BBB" w14:textId="77777777" w:rsidR="00C42084" w:rsidRPr="009D5AA5" w:rsidRDefault="00C42084" w:rsidP="00C42084">
      <w:pPr>
        <w:pStyle w:val="BodyTextIndent"/>
        <w:ind w:left="1440"/>
        <w:rPr>
          <w:rFonts w:asciiTheme="majorHAnsi" w:hAnsiTheme="majorHAnsi" w:cstheme="majorHAnsi"/>
        </w:rPr>
      </w:pPr>
    </w:p>
    <w:p w14:paraId="1BD35043" w14:textId="72331F81" w:rsidR="00C42084" w:rsidRPr="009D5AA5" w:rsidRDefault="00C42084" w:rsidP="00C42084">
      <w:pPr>
        <w:pStyle w:val="BodyTextIndent"/>
        <w:numPr>
          <w:ilvl w:val="1"/>
          <w:numId w:val="13"/>
        </w:numPr>
        <w:ind w:left="748" w:hanging="748"/>
        <w:rPr>
          <w:rFonts w:asciiTheme="majorHAnsi" w:hAnsiTheme="majorHAnsi" w:cstheme="majorHAnsi"/>
        </w:rPr>
      </w:pPr>
      <w:r w:rsidRPr="009D5AA5">
        <w:rPr>
          <w:rFonts w:asciiTheme="majorHAnsi" w:hAnsiTheme="majorHAnsi" w:cstheme="majorHAnsi"/>
        </w:rPr>
        <w:tab/>
        <w:t xml:space="preserve">No interest will be payable by </w:t>
      </w:r>
      <w:r w:rsidR="00DE26EB" w:rsidRPr="009D5AA5">
        <w:rPr>
          <w:rFonts w:asciiTheme="majorHAnsi" w:hAnsiTheme="majorHAnsi" w:cstheme="majorHAnsi"/>
        </w:rPr>
        <w:t>GPPL</w:t>
      </w:r>
      <w:r w:rsidRPr="009D5AA5">
        <w:rPr>
          <w:rFonts w:asciiTheme="majorHAnsi" w:hAnsiTheme="majorHAnsi" w:cstheme="majorHAnsi"/>
        </w:rPr>
        <w:t xml:space="preserve"> on the Bid Security.</w:t>
      </w:r>
    </w:p>
    <w:p w14:paraId="7A3321D6" w14:textId="3A6ED06F" w:rsidR="007D5FCB" w:rsidRPr="009D5AA5" w:rsidRDefault="007D5FCB" w:rsidP="007D5FCB">
      <w:pPr>
        <w:rPr>
          <w:rFonts w:asciiTheme="majorHAnsi" w:hAnsiTheme="majorHAnsi" w:cstheme="majorHAnsi"/>
          <w:lang w:val="x-none" w:eastAsia="x-none"/>
        </w:rPr>
      </w:pPr>
    </w:p>
    <w:p w14:paraId="483EFBE7" w14:textId="3352B4FF" w:rsidR="005572B5" w:rsidRPr="009D5AA5" w:rsidRDefault="005572B5" w:rsidP="007D5FCB">
      <w:pPr>
        <w:rPr>
          <w:rFonts w:asciiTheme="majorHAnsi" w:hAnsiTheme="majorHAnsi" w:cstheme="majorHAnsi"/>
          <w:lang w:val="x-none" w:eastAsia="x-none"/>
        </w:rPr>
      </w:pPr>
    </w:p>
    <w:p w14:paraId="06F65995" w14:textId="33D74C6C" w:rsidR="005572B5" w:rsidRPr="009D5AA5" w:rsidRDefault="005572B5" w:rsidP="007D5FCB">
      <w:pPr>
        <w:rPr>
          <w:rFonts w:asciiTheme="majorHAnsi" w:hAnsiTheme="majorHAnsi" w:cstheme="majorHAnsi"/>
          <w:lang w:val="x-none" w:eastAsia="x-none"/>
        </w:rPr>
      </w:pPr>
    </w:p>
    <w:p w14:paraId="659B93EA" w14:textId="1C865931" w:rsidR="005572B5" w:rsidRPr="009D5AA5" w:rsidRDefault="005572B5" w:rsidP="007D5FCB">
      <w:pPr>
        <w:rPr>
          <w:rFonts w:asciiTheme="majorHAnsi" w:hAnsiTheme="majorHAnsi" w:cstheme="majorHAnsi"/>
          <w:lang w:val="x-none" w:eastAsia="x-none"/>
        </w:rPr>
      </w:pPr>
    </w:p>
    <w:p w14:paraId="16A6013C" w14:textId="136B8AE4" w:rsidR="007D5FCB" w:rsidRPr="00AD2395" w:rsidRDefault="005572B5" w:rsidP="00915C95">
      <w:pPr>
        <w:spacing w:line="480" w:lineRule="auto"/>
        <w:rPr>
          <w:rFonts w:asciiTheme="majorHAnsi" w:hAnsiTheme="majorHAnsi" w:cstheme="majorHAnsi"/>
          <w:b/>
          <w:bCs/>
          <w:sz w:val="22"/>
          <w:szCs w:val="22"/>
          <w:lang w:val="en-IN"/>
        </w:rPr>
      </w:pPr>
      <w:r w:rsidRPr="00AD2395">
        <w:rPr>
          <w:rFonts w:asciiTheme="majorHAnsi" w:hAnsiTheme="majorHAnsi" w:cstheme="majorHAnsi"/>
          <w:b/>
          <w:bCs/>
          <w:sz w:val="28"/>
          <w:szCs w:val="28"/>
          <w:lang w:val="en-IN" w:eastAsia="x-none"/>
        </w:rPr>
        <w:t xml:space="preserve">General Terms and condition </w:t>
      </w:r>
    </w:p>
    <w:p w14:paraId="798A2340" w14:textId="44474B49"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coordinate a week in advance with Stores before planning the collection of Industrial Scrap lot for the approximate quantity available for sale.</w:t>
      </w:r>
    </w:p>
    <w:p w14:paraId="437740E4"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Buyer needs to comply with compliance formalities till delivery of material outside the main Gate Complex </w:t>
      </w:r>
      <w:proofErr w:type="gramStart"/>
      <w:r w:rsidRPr="009D5AA5">
        <w:rPr>
          <w:rFonts w:asciiTheme="majorHAnsi" w:hAnsiTheme="majorHAnsi" w:cstheme="majorHAnsi"/>
        </w:rPr>
        <w:t>has to</w:t>
      </w:r>
      <w:proofErr w:type="gramEnd"/>
      <w:r w:rsidRPr="009D5AA5">
        <w:rPr>
          <w:rFonts w:asciiTheme="majorHAnsi" w:hAnsiTheme="majorHAnsi" w:cstheme="majorHAnsi"/>
        </w:rPr>
        <w:t xml:space="preserve"> be carried out by the Party.</w:t>
      </w:r>
    </w:p>
    <w:p w14:paraId="5101415F" w14:textId="5750728C"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Buyer to ensure that required vehicle and</w:t>
      </w:r>
      <w:r w:rsidR="004070AF" w:rsidRPr="009D5AA5">
        <w:rPr>
          <w:rFonts w:asciiTheme="majorHAnsi" w:hAnsiTheme="majorHAnsi" w:cstheme="majorHAnsi"/>
        </w:rPr>
        <w:t xml:space="preserve"> adequate</w:t>
      </w:r>
      <w:r w:rsidRPr="009D5AA5">
        <w:rPr>
          <w:rFonts w:asciiTheme="majorHAnsi" w:hAnsiTheme="majorHAnsi" w:cstheme="majorHAnsi"/>
        </w:rPr>
        <w:t xml:space="preserve"> manpower are </w:t>
      </w:r>
      <w:r w:rsidR="0048450C" w:rsidRPr="009D5AA5">
        <w:rPr>
          <w:rFonts w:asciiTheme="majorHAnsi" w:hAnsiTheme="majorHAnsi" w:cstheme="majorHAnsi"/>
        </w:rPr>
        <w:t xml:space="preserve">being </w:t>
      </w:r>
      <w:r w:rsidRPr="009D5AA5">
        <w:rPr>
          <w:rFonts w:asciiTheme="majorHAnsi" w:hAnsiTheme="majorHAnsi" w:cstheme="majorHAnsi"/>
        </w:rPr>
        <w:t xml:space="preserve">arranged for the delivery and the persons are duly trained and equipped with </w:t>
      </w:r>
      <w:r w:rsidR="009D5AA5">
        <w:rPr>
          <w:rFonts w:asciiTheme="majorHAnsi" w:hAnsiTheme="majorHAnsi" w:cstheme="majorHAnsi"/>
        </w:rPr>
        <w:t xml:space="preserve">certified </w:t>
      </w:r>
      <w:r w:rsidRPr="009D5AA5">
        <w:rPr>
          <w:rFonts w:asciiTheme="majorHAnsi" w:hAnsiTheme="majorHAnsi" w:cstheme="majorHAnsi"/>
        </w:rPr>
        <w:t>safety gears and PPEs to carry out the lifting</w:t>
      </w:r>
      <w:r w:rsidR="004070AF" w:rsidRPr="009D5AA5">
        <w:rPr>
          <w:rFonts w:asciiTheme="majorHAnsi" w:hAnsiTheme="majorHAnsi" w:cstheme="majorHAnsi"/>
        </w:rPr>
        <w:t>/ loading</w:t>
      </w:r>
      <w:r w:rsidRPr="009D5AA5">
        <w:rPr>
          <w:rFonts w:asciiTheme="majorHAnsi" w:hAnsiTheme="majorHAnsi" w:cstheme="majorHAnsi"/>
        </w:rPr>
        <w:t xml:space="preserve"> job. </w:t>
      </w:r>
      <w:r w:rsidR="00064753" w:rsidRPr="009D5AA5">
        <w:rPr>
          <w:rFonts w:asciiTheme="majorHAnsi" w:hAnsiTheme="majorHAnsi" w:cstheme="majorHAnsi"/>
        </w:rPr>
        <w:t xml:space="preserve">Buyer should liaise HSE and </w:t>
      </w:r>
      <w:r w:rsidR="004070AF" w:rsidRPr="009D5AA5">
        <w:rPr>
          <w:rFonts w:asciiTheme="majorHAnsi" w:hAnsiTheme="majorHAnsi" w:cstheme="majorHAnsi"/>
        </w:rPr>
        <w:t>Warehouse</w:t>
      </w:r>
      <w:r w:rsidR="00064753" w:rsidRPr="009D5AA5">
        <w:rPr>
          <w:rFonts w:asciiTheme="majorHAnsi" w:hAnsiTheme="majorHAnsi" w:cstheme="majorHAnsi"/>
        </w:rPr>
        <w:t xml:space="preserve"> for specific risk assessment for each activity before performing the work.</w:t>
      </w:r>
    </w:p>
    <w:p w14:paraId="3835AB7C" w14:textId="13D7562F"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For the material to be disposed on weight basis the authorized vehicles shall be weighted at the time of arrival and the respective lot shall be loaded in the same vehicles in the presence of </w:t>
      </w:r>
      <w:proofErr w:type="spellStart"/>
      <w:r w:rsidR="004070AF" w:rsidRPr="009D5AA5">
        <w:rPr>
          <w:rFonts w:asciiTheme="majorHAnsi" w:hAnsiTheme="majorHAnsi" w:cstheme="majorHAnsi"/>
        </w:rPr>
        <w:t>WH</w:t>
      </w:r>
      <w:proofErr w:type="spellEnd"/>
      <w:r w:rsidRPr="009D5AA5">
        <w:rPr>
          <w:rFonts w:asciiTheme="majorHAnsi" w:hAnsiTheme="majorHAnsi" w:cstheme="majorHAnsi"/>
        </w:rPr>
        <w:t xml:space="preserve"> staff and further weighted at GPPL Weigh Bridge for net weight. The Buyer shall arrange for all the transportation for weighing payable to GPPL shall be deposited with GPPL in advance for which receipt will be provided if required.</w:t>
      </w:r>
    </w:p>
    <w:p w14:paraId="4FBBB065" w14:textId="03EE9D96" w:rsidR="00440191" w:rsidRPr="009D5AA5" w:rsidRDefault="004070AF"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For </w:t>
      </w:r>
      <w:r w:rsidRPr="009D5AA5">
        <w:rPr>
          <w:rFonts w:asciiTheme="majorHAnsi" w:hAnsiTheme="majorHAnsi" w:cstheme="majorHAnsi"/>
          <w:b/>
          <w:bCs/>
          <w:u w:val="single"/>
        </w:rPr>
        <w:t>all Hazardous waste</w:t>
      </w:r>
      <w:r w:rsidRPr="009D5AA5">
        <w:rPr>
          <w:rFonts w:asciiTheme="majorHAnsi" w:hAnsiTheme="majorHAnsi" w:cstheme="majorHAnsi"/>
        </w:rPr>
        <w:t xml:space="preserve"> the Buyer shall and </w:t>
      </w:r>
      <w:r w:rsidR="0046747B" w:rsidRPr="009D5AA5">
        <w:rPr>
          <w:rFonts w:asciiTheme="majorHAnsi" w:hAnsiTheme="majorHAnsi" w:cstheme="majorHAnsi"/>
        </w:rPr>
        <w:t>should have</w:t>
      </w:r>
      <w:r w:rsidR="00DD5A08" w:rsidRPr="009D5AA5">
        <w:rPr>
          <w:rFonts w:asciiTheme="majorHAnsi" w:hAnsiTheme="majorHAnsi" w:cstheme="majorHAnsi"/>
        </w:rPr>
        <w:t xml:space="preserve"> valid</w:t>
      </w:r>
      <w:r w:rsidR="0046747B" w:rsidRPr="009D5AA5">
        <w:rPr>
          <w:rFonts w:asciiTheme="majorHAnsi" w:hAnsiTheme="majorHAnsi" w:cstheme="majorHAnsi"/>
        </w:rPr>
        <w:t xml:space="preserve"> </w:t>
      </w:r>
      <w:r w:rsidR="00440191" w:rsidRPr="009D5AA5">
        <w:rPr>
          <w:rFonts w:asciiTheme="majorHAnsi" w:hAnsiTheme="majorHAnsi" w:cstheme="majorHAnsi"/>
        </w:rPr>
        <w:t xml:space="preserve">consent from Pollution Control Board, only valid consent holders are eligible for sending proposal. Buyer shall submit the valid consent letter along with the proposal. </w:t>
      </w:r>
    </w:p>
    <w:p w14:paraId="471211AE" w14:textId="45F8534D" w:rsidR="004070AF" w:rsidRPr="009D5AA5" w:rsidRDefault="00440191"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All vehicle</w:t>
      </w:r>
      <w:r w:rsidR="00DD5A08" w:rsidRPr="009D5AA5">
        <w:rPr>
          <w:rFonts w:asciiTheme="majorHAnsi" w:hAnsiTheme="majorHAnsi" w:cstheme="majorHAnsi"/>
        </w:rPr>
        <w:t>s</w:t>
      </w:r>
      <w:r w:rsidRPr="009D5AA5">
        <w:rPr>
          <w:rFonts w:asciiTheme="majorHAnsi" w:hAnsiTheme="majorHAnsi" w:cstheme="majorHAnsi"/>
        </w:rPr>
        <w:t xml:space="preserve"> lifting and transport the</w:t>
      </w:r>
      <w:r w:rsidR="00DD5A08" w:rsidRPr="009D5AA5">
        <w:rPr>
          <w:rFonts w:asciiTheme="majorHAnsi" w:hAnsiTheme="majorHAnsi" w:cstheme="majorHAnsi"/>
        </w:rPr>
        <w:t xml:space="preserve"> Haz waste should have valid GPS system approved by </w:t>
      </w:r>
      <w:proofErr w:type="spellStart"/>
      <w:r w:rsidR="00DD5A08" w:rsidRPr="009D5AA5">
        <w:rPr>
          <w:rFonts w:asciiTheme="majorHAnsi" w:hAnsiTheme="majorHAnsi" w:cstheme="majorHAnsi"/>
        </w:rPr>
        <w:t>GPCB</w:t>
      </w:r>
      <w:proofErr w:type="spellEnd"/>
      <w:r w:rsidR="00DD5A08" w:rsidRPr="009D5AA5">
        <w:rPr>
          <w:rFonts w:asciiTheme="majorHAnsi" w:hAnsiTheme="majorHAnsi" w:cstheme="majorHAnsi"/>
        </w:rPr>
        <w:t xml:space="preserve">. Any vehicle not having </w:t>
      </w:r>
      <w:r w:rsidR="008D0889" w:rsidRPr="009D5AA5">
        <w:rPr>
          <w:rFonts w:asciiTheme="majorHAnsi" w:hAnsiTheme="majorHAnsi" w:cstheme="majorHAnsi"/>
        </w:rPr>
        <w:t>such system installed shall not be permitted for loading.</w:t>
      </w:r>
      <w:r w:rsidR="00DD5A08" w:rsidRPr="009D5AA5">
        <w:rPr>
          <w:rFonts w:asciiTheme="majorHAnsi" w:hAnsiTheme="majorHAnsi" w:cstheme="majorHAnsi"/>
        </w:rPr>
        <w:t xml:space="preserve"> </w:t>
      </w:r>
      <w:r w:rsidRPr="009D5AA5">
        <w:rPr>
          <w:rFonts w:asciiTheme="majorHAnsi" w:hAnsiTheme="majorHAnsi" w:cstheme="majorHAnsi"/>
        </w:rPr>
        <w:t xml:space="preserve">  </w:t>
      </w:r>
    </w:p>
    <w:p w14:paraId="7E0082F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make the payment in advance to GPPL as per agreed terms of this Contract and arrange to lift the assigned Industrial Scrap lot within 7 days from the date of intimation/necessary payment without which material cannot be lifted by Buyer.</w:t>
      </w:r>
    </w:p>
    <w:p w14:paraId="14392712" w14:textId="67A0DD3D"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actual weight/quantity at the time of delivery as per the delivery note signed by representatives of </w:t>
      </w:r>
      <w:proofErr w:type="spellStart"/>
      <w:r w:rsidR="008D0889" w:rsidRPr="009D5AA5">
        <w:rPr>
          <w:rFonts w:asciiTheme="majorHAnsi" w:hAnsiTheme="majorHAnsi" w:cstheme="majorHAnsi"/>
        </w:rPr>
        <w:t>WH</w:t>
      </w:r>
      <w:proofErr w:type="spellEnd"/>
      <w:r w:rsidRPr="009D5AA5">
        <w:rPr>
          <w:rFonts w:asciiTheme="majorHAnsi" w:hAnsiTheme="majorHAnsi" w:cstheme="majorHAnsi"/>
        </w:rPr>
        <w:t xml:space="preserve"> staff and party</w:t>
      </w:r>
      <w:r w:rsidR="008D0889" w:rsidRPr="009D5AA5">
        <w:rPr>
          <w:rFonts w:asciiTheme="majorHAnsi" w:hAnsiTheme="majorHAnsi" w:cstheme="majorHAnsi"/>
        </w:rPr>
        <w:t xml:space="preserve"> shall</w:t>
      </w:r>
      <w:r w:rsidRPr="009D5AA5">
        <w:rPr>
          <w:rFonts w:asciiTheme="majorHAnsi" w:hAnsiTheme="majorHAnsi" w:cstheme="majorHAnsi"/>
        </w:rPr>
        <w:t xml:space="preserve"> be considered full and final and invoice</w:t>
      </w:r>
      <w:r w:rsidR="008D0889" w:rsidRPr="009D5AA5">
        <w:rPr>
          <w:rFonts w:asciiTheme="majorHAnsi" w:hAnsiTheme="majorHAnsi" w:cstheme="majorHAnsi"/>
        </w:rPr>
        <w:t xml:space="preserve"> and gate pass</w:t>
      </w:r>
      <w:r w:rsidRPr="009D5AA5">
        <w:rPr>
          <w:rFonts w:asciiTheme="majorHAnsi" w:hAnsiTheme="majorHAnsi" w:cstheme="majorHAnsi"/>
        </w:rPr>
        <w:t xml:space="preserve"> will be issued by GPPL accordingly.</w:t>
      </w:r>
    </w:p>
    <w:p w14:paraId="6F9C9B8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Any lifting gears required for lifting the assigned </w:t>
      </w:r>
      <w:r w:rsidR="00915C95" w:rsidRPr="009D5AA5">
        <w:rPr>
          <w:rFonts w:asciiTheme="majorHAnsi" w:hAnsiTheme="majorHAnsi" w:cstheme="majorHAnsi"/>
        </w:rPr>
        <w:t>scrap will</w:t>
      </w:r>
      <w:r w:rsidRPr="009D5AA5">
        <w:rPr>
          <w:rFonts w:asciiTheme="majorHAnsi" w:hAnsiTheme="majorHAnsi" w:cstheme="majorHAnsi"/>
        </w:rPr>
        <w:t xml:space="preserve"> be arranged </w:t>
      </w:r>
      <w:r w:rsidR="00C578DA" w:rsidRPr="009D5AA5">
        <w:rPr>
          <w:rFonts w:asciiTheme="majorHAnsi" w:hAnsiTheme="majorHAnsi" w:cstheme="majorHAnsi"/>
        </w:rPr>
        <w:t>by the Buyer.</w:t>
      </w:r>
      <w:r w:rsidR="00915C95" w:rsidRPr="009D5AA5">
        <w:rPr>
          <w:rFonts w:asciiTheme="majorHAnsi" w:hAnsiTheme="majorHAnsi" w:cstheme="majorHAnsi"/>
        </w:rPr>
        <w:t xml:space="preserve"> All lifting gears/ tools shall be certified with validity dates.   </w:t>
      </w:r>
      <w:r w:rsidRPr="009D5AA5">
        <w:rPr>
          <w:rFonts w:asciiTheme="majorHAnsi" w:hAnsiTheme="majorHAnsi" w:cstheme="majorHAnsi"/>
        </w:rPr>
        <w:t xml:space="preserve"> </w:t>
      </w:r>
    </w:p>
    <w:p w14:paraId="66068604" w14:textId="7F122AE0"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Buyer to ensure that the Industrial Scrap delivery vehicles are out of port premises before </w:t>
      </w:r>
      <w:proofErr w:type="spellStart"/>
      <w:r w:rsidR="008D0889" w:rsidRPr="009D5AA5">
        <w:rPr>
          <w:rFonts w:asciiTheme="majorHAnsi" w:hAnsiTheme="majorHAnsi" w:cstheme="majorHAnsi"/>
        </w:rPr>
        <w:t>4:30</w:t>
      </w:r>
      <w:r w:rsidRPr="009D5AA5">
        <w:rPr>
          <w:rFonts w:asciiTheme="majorHAnsi" w:hAnsiTheme="majorHAnsi" w:cstheme="majorHAnsi"/>
        </w:rPr>
        <w:t>pm</w:t>
      </w:r>
      <w:proofErr w:type="spellEnd"/>
      <w:r w:rsidRPr="009D5AA5">
        <w:rPr>
          <w:rFonts w:asciiTheme="majorHAnsi" w:hAnsiTheme="majorHAnsi" w:cstheme="majorHAnsi"/>
        </w:rPr>
        <w:t xml:space="preserve"> on the date of delivery.</w:t>
      </w:r>
    </w:p>
    <w:p w14:paraId="235045DC"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All rates are exclusive of taxes. The rates are not subject to changes during the tenure of the contract unless mutually agreed between parties.</w:t>
      </w:r>
    </w:p>
    <w:p w14:paraId="5994CCCE"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Vehicle</w:t>
      </w:r>
      <w:r w:rsidR="00915C95" w:rsidRPr="009D5AA5">
        <w:rPr>
          <w:rFonts w:asciiTheme="majorHAnsi" w:hAnsiTheme="majorHAnsi" w:cstheme="majorHAnsi"/>
        </w:rPr>
        <w:t xml:space="preserve"> and equipment</w:t>
      </w:r>
      <w:r w:rsidRPr="009D5AA5">
        <w:rPr>
          <w:rFonts w:asciiTheme="majorHAnsi" w:hAnsiTheme="majorHAnsi" w:cstheme="majorHAnsi"/>
        </w:rPr>
        <w:t xml:space="preserve"> carrying</w:t>
      </w:r>
      <w:r w:rsidR="00915C95" w:rsidRPr="009D5AA5">
        <w:rPr>
          <w:rFonts w:asciiTheme="majorHAnsi" w:hAnsiTheme="majorHAnsi" w:cstheme="majorHAnsi"/>
        </w:rPr>
        <w:t>/ lifting</w:t>
      </w:r>
      <w:r w:rsidRPr="009D5AA5">
        <w:rPr>
          <w:rFonts w:asciiTheme="majorHAnsi" w:hAnsiTheme="majorHAnsi" w:cstheme="majorHAnsi"/>
        </w:rPr>
        <w:t xml:space="preserve"> material shall be in good condition, must have seat belts, good condition </w:t>
      </w:r>
      <w:proofErr w:type="spellStart"/>
      <w:r w:rsidRPr="009D5AA5">
        <w:rPr>
          <w:rFonts w:asciiTheme="majorHAnsi" w:hAnsiTheme="majorHAnsi" w:cstheme="majorHAnsi"/>
        </w:rPr>
        <w:t>tyres</w:t>
      </w:r>
      <w:proofErr w:type="spellEnd"/>
      <w:r w:rsidRPr="009D5AA5">
        <w:rPr>
          <w:rFonts w:asciiTheme="majorHAnsi" w:hAnsiTheme="majorHAnsi" w:cstheme="majorHAnsi"/>
        </w:rPr>
        <w:t>, working headlights, tail lamps</w:t>
      </w:r>
      <w:r w:rsidR="00C578DA" w:rsidRPr="009D5AA5">
        <w:rPr>
          <w:rFonts w:asciiTheme="majorHAnsi" w:hAnsiTheme="majorHAnsi" w:cstheme="majorHAnsi"/>
        </w:rPr>
        <w:t xml:space="preserve">, reverse horn </w:t>
      </w:r>
      <w:r w:rsidRPr="009D5AA5">
        <w:rPr>
          <w:rFonts w:asciiTheme="majorHAnsi" w:hAnsiTheme="majorHAnsi" w:cstheme="majorHAnsi"/>
        </w:rPr>
        <w:t>and driver should carry following papers to ensure smooth entry in port premises.</w:t>
      </w:r>
    </w:p>
    <w:p w14:paraId="3C81EA68" w14:textId="77777777" w:rsidR="00915C95" w:rsidRPr="009D5AA5" w:rsidRDefault="00915C95" w:rsidP="00915C95">
      <w:pPr>
        <w:pStyle w:val="ListParagraph"/>
        <w:numPr>
          <w:ilvl w:val="0"/>
          <w:numId w:val="3"/>
        </w:numPr>
        <w:spacing w:line="480" w:lineRule="auto"/>
        <w:jc w:val="both"/>
        <w:rPr>
          <w:rFonts w:asciiTheme="majorHAnsi" w:hAnsiTheme="majorHAnsi" w:cstheme="majorHAnsi"/>
          <w:b/>
        </w:rPr>
      </w:pPr>
      <w:r w:rsidRPr="009D5AA5">
        <w:rPr>
          <w:rFonts w:asciiTheme="majorHAnsi" w:hAnsiTheme="majorHAnsi" w:cstheme="majorHAnsi"/>
          <w:b/>
        </w:rPr>
        <w:t>RC book, Original License, PUC certificate, Gate entry pass, Safety induction Pass, Vehicle fitness certificate</w:t>
      </w:r>
    </w:p>
    <w:p w14:paraId="5F0A5D03" w14:textId="7703C929" w:rsidR="00915C95" w:rsidRPr="009D5AA5" w:rsidRDefault="00915C95" w:rsidP="00915C95">
      <w:pPr>
        <w:numPr>
          <w:ilvl w:val="0"/>
          <w:numId w:val="2"/>
        </w:numPr>
        <w:spacing w:line="480" w:lineRule="auto"/>
        <w:jc w:val="both"/>
        <w:rPr>
          <w:rFonts w:asciiTheme="majorHAnsi" w:hAnsiTheme="majorHAnsi" w:cstheme="majorHAnsi"/>
        </w:rPr>
      </w:pPr>
      <w:r w:rsidRPr="009D5AA5">
        <w:rPr>
          <w:rFonts w:asciiTheme="majorHAnsi" w:hAnsiTheme="majorHAnsi" w:cstheme="majorHAnsi"/>
        </w:rPr>
        <w:t xml:space="preserve">Buyer shall arrange all the documents related to </w:t>
      </w:r>
      <w:proofErr w:type="spellStart"/>
      <w:r w:rsidRPr="009D5AA5">
        <w:rPr>
          <w:rFonts w:asciiTheme="majorHAnsi" w:hAnsiTheme="majorHAnsi" w:cstheme="majorHAnsi"/>
        </w:rPr>
        <w:t>labour</w:t>
      </w:r>
      <w:proofErr w:type="spellEnd"/>
      <w:r w:rsidRPr="009D5AA5">
        <w:rPr>
          <w:rFonts w:asciiTheme="majorHAnsi" w:hAnsiTheme="majorHAnsi" w:cstheme="majorHAnsi"/>
        </w:rPr>
        <w:t xml:space="preserve"> compliances, insurance by his own expenses. </w:t>
      </w:r>
    </w:p>
    <w:p w14:paraId="67491869" w14:textId="4AC338C8" w:rsidR="008D0889" w:rsidRDefault="008D0889" w:rsidP="00915C95">
      <w:pPr>
        <w:numPr>
          <w:ilvl w:val="0"/>
          <w:numId w:val="2"/>
        </w:numPr>
        <w:spacing w:line="480" w:lineRule="auto"/>
        <w:jc w:val="both"/>
        <w:rPr>
          <w:rFonts w:asciiTheme="majorHAnsi" w:hAnsiTheme="majorHAnsi" w:cstheme="majorHAnsi"/>
          <w:b/>
          <w:bCs/>
        </w:rPr>
      </w:pPr>
      <w:r w:rsidRPr="009D5AA5">
        <w:rPr>
          <w:rFonts w:asciiTheme="majorHAnsi" w:hAnsiTheme="majorHAnsi" w:cstheme="majorHAnsi"/>
          <w:b/>
          <w:bCs/>
        </w:rPr>
        <w:t xml:space="preserve">Buyer shall deposit Rupees </w:t>
      </w:r>
      <w:r w:rsidR="00BF2C0E" w:rsidRPr="009D5AA5">
        <w:rPr>
          <w:rFonts w:asciiTheme="majorHAnsi" w:hAnsiTheme="majorHAnsi" w:cstheme="majorHAnsi"/>
          <w:b/>
          <w:bCs/>
        </w:rPr>
        <w:t>0</w:t>
      </w:r>
      <w:r w:rsidRPr="009D5AA5">
        <w:rPr>
          <w:rFonts w:asciiTheme="majorHAnsi" w:hAnsiTheme="majorHAnsi" w:cstheme="majorHAnsi"/>
          <w:b/>
          <w:bCs/>
        </w:rPr>
        <w:t xml:space="preserve">3 (three) Lacs as security deposit along with the buying proposal failing which the proposal shall be considered as rejected. Security deposit shall be </w:t>
      </w:r>
      <w:proofErr w:type="gramStart"/>
      <w:r w:rsidRPr="009D5AA5">
        <w:rPr>
          <w:rFonts w:asciiTheme="majorHAnsi" w:hAnsiTheme="majorHAnsi" w:cstheme="majorHAnsi"/>
          <w:b/>
          <w:bCs/>
        </w:rPr>
        <w:t>return back</w:t>
      </w:r>
      <w:proofErr w:type="gramEnd"/>
      <w:r w:rsidRPr="009D5AA5">
        <w:rPr>
          <w:rFonts w:asciiTheme="majorHAnsi" w:hAnsiTheme="majorHAnsi" w:cstheme="majorHAnsi"/>
          <w:b/>
          <w:bCs/>
        </w:rPr>
        <w:t xml:space="preserve"> to vendor to all unsuccessful vendor after tendering process completed. </w:t>
      </w:r>
    </w:p>
    <w:p w14:paraId="3E661FDB" w14:textId="01722D99" w:rsidR="009D5AA5" w:rsidRDefault="009D5AA5" w:rsidP="00915C95">
      <w:pPr>
        <w:numPr>
          <w:ilvl w:val="0"/>
          <w:numId w:val="2"/>
        </w:numPr>
        <w:spacing w:line="480" w:lineRule="auto"/>
        <w:jc w:val="both"/>
        <w:rPr>
          <w:rFonts w:asciiTheme="majorHAnsi" w:hAnsiTheme="majorHAnsi" w:cstheme="majorHAnsi"/>
          <w:b/>
          <w:bCs/>
        </w:rPr>
      </w:pPr>
      <w:r>
        <w:rPr>
          <w:rFonts w:asciiTheme="majorHAnsi" w:hAnsiTheme="majorHAnsi" w:cstheme="majorHAnsi"/>
          <w:b/>
          <w:bCs/>
        </w:rPr>
        <w:t>Security deposit shall be forfeited for all Nonresponsive awarded buyer after three consecutive reminders</w:t>
      </w:r>
      <w:r w:rsidR="006B7C28">
        <w:rPr>
          <w:rFonts w:asciiTheme="majorHAnsi" w:hAnsiTheme="majorHAnsi" w:cstheme="majorHAnsi"/>
          <w:b/>
          <w:bCs/>
        </w:rPr>
        <w:t xml:space="preserve"> after every three working days interval</w:t>
      </w:r>
      <w:r>
        <w:rPr>
          <w:rFonts w:asciiTheme="majorHAnsi" w:hAnsiTheme="majorHAnsi" w:cstheme="majorHAnsi"/>
          <w:b/>
          <w:bCs/>
        </w:rPr>
        <w:t xml:space="preserve">.   </w:t>
      </w:r>
    </w:p>
    <w:p w14:paraId="47AC7333" w14:textId="77777777" w:rsidR="009D5AA5" w:rsidRPr="009D5AA5" w:rsidRDefault="009D5AA5" w:rsidP="009D5AA5">
      <w:pPr>
        <w:numPr>
          <w:ilvl w:val="0"/>
          <w:numId w:val="2"/>
        </w:numPr>
        <w:spacing w:line="480" w:lineRule="auto"/>
        <w:jc w:val="both"/>
        <w:rPr>
          <w:rFonts w:asciiTheme="majorHAnsi" w:hAnsiTheme="majorHAnsi" w:cstheme="majorHAnsi"/>
          <w:b/>
        </w:rPr>
      </w:pPr>
      <w:r w:rsidRPr="009D5AA5">
        <w:rPr>
          <w:rFonts w:asciiTheme="majorHAnsi" w:hAnsiTheme="majorHAnsi" w:cstheme="majorHAnsi"/>
          <w:b/>
          <w:bCs/>
        </w:rPr>
        <w:t>The awarded rate shall valid 12 months from the date of work order</w:t>
      </w:r>
      <w:r>
        <w:rPr>
          <w:rFonts w:asciiTheme="majorHAnsi" w:hAnsiTheme="majorHAnsi" w:cstheme="majorHAnsi"/>
        </w:rPr>
        <w:t xml:space="preserve">.  </w:t>
      </w:r>
    </w:p>
    <w:p w14:paraId="294498F3" w14:textId="77777777" w:rsidR="009D5AA5" w:rsidRPr="009D5AA5" w:rsidRDefault="009D5AA5" w:rsidP="009D5AA5">
      <w:pPr>
        <w:spacing w:line="480" w:lineRule="auto"/>
        <w:ind w:left="1440"/>
        <w:jc w:val="both"/>
        <w:rPr>
          <w:rFonts w:asciiTheme="majorHAnsi" w:hAnsiTheme="majorHAnsi" w:cstheme="majorHAnsi"/>
          <w:b/>
          <w:bCs/>
        </w:rPr>
      </w:pPr>
    </w:p>
    <w:p w14:paraId="76283C41" w14:textId="7CB6AEAB" w:rsidR="00554C06" w:rsidRPr="009D5AA5" w:rsidRDefault="00554C06" w:rsidP="00554C06">
      <w:pPr>
        <w:spacing w:line="480" w:lineRule="auto"/>
        <w:jc w:val="both"/>
        <w:rPr>
          <w:rFonts w:asciiTheme="majorHAnsi" w:hAnsiTheme="majorHAnsi" w:cstheme="majorHAnsi"/>
          <w:b/>
          <w:bCs/>
          <w:sz w:val="20"/>
          <w:szCs w:val="20"/>
        </w:rPr>
      </w:pPr>
    </w:p>
    <w:p w14:paraId="0757C71E" w14:textId="4D7E7A14" w:rsidR="00F64D4B" w:rsidRPr="009D5AA5" w:rsidRDefault="00F64D4B" w:rsidP="00554C06">
      <w:pPr>
        <w:spacing w:line="480" w:lineRule="auto"/>
        <w:jc w:val="both"/>
        <w:rPr>
          <w:rFonts w:asciiTheme="majorHAnsi" w:hAnsiTheme="majorHAnsi" w:cstheme="majorHAnsi"/>
          <w:b/>
          <w:bCs/>
          <w:sz w:val="20"/>
          <w:szCs w:val="20"/>
        </w:rPr>
      </w:pPr>
    </w:p>
    <w:p w14:paraId="081E233E" w14:textId="073AAA10" w:rsidR="00F64D4B" w:rsidRPr="009D5AA5" w:rsidRDefault="00F64D4B" w:rsidP="00554C06">
      <w:pPr>
        <w:spacing w:line="480" w:lineRule="auto"/>
        <w:jc w:val="both"/>
        <w:rPr>
          <w:rFonts w:asciiTheme="majorHAnsi" w:hAnsiTheme="majorHAnsi" w:cstheme="majorHAnsi"/>
          <w:b/>
          <w:bCs/>
          <w:sz w:val="20"/>
          <w:szCs w:val="20"/>
        </w:rPr>
      </w:pPr>
    </w:p>
    <w:p w14:paraId="709AE58D" w14:textId="016545D7" w:rsidR="00F64D4B" w:rsidRPr="009D5AA5" w:rsidRDefault="00F64D4B" w:rsidP="00554C06">
      <w:pPr>
        <w:spacing w:line="480" w:lineRule="auto"/>
        <w:jc w:val="both"/>
        <w:rPr>
          <w:rFonts w:asciiTheme="majorHAnsi" w:hAnsiTheme="majorHAnsi" w:cstheme="majorHAnsi"/>
          <w:b/>
          <w:bCs/>
          <w:sz w:val="20"/>
          <w:szCs w:val="20"/>
        </w:rPr>
      </w:pPr>
    </w:p>
    <w:p w14:paraId="25350713" w14:textId="7E5D1FB1" w:rsidR="00F64D4B" w:rsidRPr="009D5AA5" w:rsidRDefault="00F64D4B" w:rsidP="00554C06">
      <w:pPr>
        <w:spacing w:line="480" w:lineRule="auto"/>
        <w:jc w:val="both"/>
        <w:rPr>
          <w:rFonts w:asciiTheme="majorHAnsi" w:hAnsiTheme="majorHAnsi" w:cstheme="majorHAnsi"/>
          <w:b/>
          <w:bCs/>
          <w:sz w:val="20"/>
          <w:szCs w:val="20"/>
        </w:rPr>
      </w:pPr>
    </w:p>
    <w:p w14:paraId="5595D30E" w14:textId="6FCEAB28" w:rsidR="00F64D4B" w:rsidRPr="009D5AA5" w:rsidRDefault="00F64D4B" w:rsidP="00554C06">
      <w:pPr>
        <w:spacing w:line="480" w:lineRule="auto"/>
        <w:jc w:val="both"/>
        <w:rPr>
          <w:rFonts w:asciiTheme="majorHAnsi" w:hAnsiTheme="majorHAnsi" w:cstheme="majorHAnsi"/>
          <w:b/>
          <w:bCs/>
          <w:sz w:val="20"/>
          <w:szCs w:val="20"/>
        </w:rPr>
      </w:pPr>
    </w:p>
    <w:p w14:paraId="66890D06" w14:textId="32C583CF" w:rsidR="00F64D4B" w:rsidRPr="009D5AA5" w:rsidRDefault="00F64D4B" w:rsidP="00554C06">
      <w:pPr>
        <w:spacing w:line="480" w:lineRule="auto"/>
        <w:jc w:val="both"/>
        <w:rPr>
          <w:rFonts w:asciiTheme="majorHAnsi" w:hAnsiTheme="majorHAnsi" w:cstheme="majorHAnsi"/>
          <w:b/>
          <w:bCs/>
          <w:sz w:val="20"/>
          <w:szCs w:val="20"/>
        </w:rPr>
      </w:pPr>
    </w:p>
    <w:p w14:paraId="5E5E73DD" w14:textId="688FD30E" w:rsidR="00F64D4B" w:rsidRPr="009D5AA5" w:rsidRDefault="00F64D4B" w:rsidP="00554C06">
      <w:pPr>
        <w:spacing w:line="480" w:lineRule="auto"/>
        <w:jc w:val="both"/>
        <w:rPr>
          <w:rFonts w:asciiTheme="majorHAnsi" w:hAnsiTheme="majorHAnsi" w:cstheme="majorHAnsi"/>
          <w:b/>
          <w:bCs/>
          <w:sz w:val="20"/>
          <w:szCs w:val="20"/>
        </w:rPr>
      </w:pPr>
    </w:p>
    <w:p w14:paraId="70A09DE5" w14:textId="5CD643EA" w:rsidR="00F64D4B" w:rsidRPr="009D5AA5" w:rsidRDefault="00F64D4B" w:rsidP="00554C06">
      <w:pPr>
        <w:spacing w:line="480" w:lineRule="auto"/>
        <w:jc w:val="both"/>
        <w:rPr>
          <w:rFonts w:asciiTheme="majorHAnsi" w:hAnsiTheme="majorHAnsi" w:cstheme="majorHAnsi"/>
          <w:b/>
          <w:bCs/>
          <w:sz w:val="20"/>
          <w:szCs w:val="20"/>
        </w:rPr>
      </w:pPr>
    </w:p>
    <w:p w14:paraId="0F05D95F" w14:textId="15A91FFD" w:rsidR="00554C06" w:rsidRPr="00AD2395" w:rsidRDefault="00F64D4B" w:rsidP="00554C06">
      <w:pPr>
        <w:pStyle w:val="Heading1"/>
        <w:rPr>
          <w:rFonts w:asciiTheme="majorHAnsi" w:hAnsiTheme="majorHAnsi" w:cstheme="majorHAnsi"/>
          <w:sz w:val="28"/>
          <w:szCs w:val="28"/>
        </w:rPr>
      </w:pPr>
      <w:r w:rsidRPr="00AD2395">
        <w:rPr>
          <w:rFonts w:asciiTheme="majorHAnsi" w:hAnsiTheme="majorHAnsi" w:cstheme="majorHAnsi"/>
          <w:sz w:val="28"/>
          <w:szCs w:val="28"/>
          <w:lang w:val="en-IN"/>
        </w:rPr>
        <w:t>Annexure-I</w:t>
      </w:r>
      <w:r w:rsidR="00554C06" w:rsidRPr="00AD2395">
        <w:rPr>
          <w:rFonts w:asciiTheme="majorHAnsi" w:hAnsiTheme="majorHAnsi" w:cstheme="majorHAnsi"/>
          <w:sz w:val="28"/>
          <w:szCs w:val="28"/>
        </w:rPr>
        <w:t>:</w:t>
      </w:r>
    </w:p>
    <w:p w14:paraId="6F252890" w14:textId="78F7BE6E" w:rsidR="00554C06" w:rsidRPr="009D5AA5" w:rsidRDefault="00554C06" w:rsidP="00915C95">
      <w:pPr>
        <w:spacing w:line="480" w:lineRule="auto"/>
        <w:rPr>
          <w:rFonts w:asciiTheme="majorHAnsi" w:hAnsiTheme="majorHAnsi" w:cstheme="majorHAnsi"/>
        </w:rPr>
      </w:pPr>
    </w:p>
    <w:tbl>
      <w:tblPr>
        <w:tblW w:w="10822" w:type="dxa"/>
        <w:tblInd w:w="-905" w:type="dxa"/>
        <w:tblLook w:val="04A0" w:firstRow="1" w:lastRow="0" w:firstColumn="1" w:lastColumn="0" w:noHBand="0" w:noVBand="1"/>
      </w:tblPr>
      <w:tblGrid>
        <w:gridCol w:w="713"/>
        <w:gridCol w:w="5739"/>
        <w:gridCol w:w="608"/>
        <w:gridCol w:w="942"/>
        <w:gridCol w:w="636"/>
        <w:gridCol w:w="959"/>
        <w:gridCol w:w="1003"/>
        <w:gridCol w:w="222"/>
      </w:tblGrid>
      <w:tr w:rsidR="00F64D4B" w:rsidRPr="009D5AA5" w14:paraId="3DB530F4" w14:textId="77777777" w:rsidTr="00F64D4B">
        <w:trPr>
          <w:gridAfter w:val="1"/>
          <w:wAfter w:w="222" w:type="dxa"/>
          <w:trHeight w:val="330"/>
        </w:trPr>
        <w:tc>
          <w:tcPr>
            <w:tcW w:w="10600"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0EA75C8" w14:textId="20A90C28"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SCRAP DETAILS- (Quantity)</w:t>
            </w:r>
          </w:p>
        </w:tc>
      </w:tr>
      <w:tr w:rsidR="00F64D4B" w:rsidRPr="009D5AA5" w14:paraId="59CC3A75" w14:textId="77777777" w:rsidTr="00F64D4B">
        <w:trPr>
          <w:gridAfter w:val="1"/>
          <w:wAfter w:w="222" w:type="dxa"/>
          <w:trHeight w:val="330"/>
        </w:trPr>
        <w:tc>
          <w:tcPr>
            <w:tcW w:w="10600"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6B23DC6D" w14:textId="37C1717E"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Hazardous waste</w:t>
            </w:r>
            <w:r w:rsidR="006B7C28">
              <w:rPr>
                <w:rFonts w:asciiTheme="majorHAnsi" w:hAnsiTheme="majorHAnsi" w:cstheme="majorHAnsi"/>
                <w:b/>
                <w:bCs/>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 xml:space="preserve">Mandatory requirement of </w:t>
            </w:r>
            <w:proofErr w:type="spellStart"/>
            <w:r w:rsidR="006B7C28" w:rsidRPr="006B7C28">
              <w:rPr>
                <w:rFonts w:asciiTheme="majorHAnsi" w:hAnsiTheme="majorHAnsi" w:cstheme="majorHAnsi"/>
                <w:b/>
                <w:bCs/>
                <w:color w:val="000000"/>
                <w:sz w:val="22"/>
                <w:szCs w:val="22"/>
                <w:highlight w:val="yellow"/>
                <w:lang w:val="en-IN" w:eastAsia="en-IN"/>
              </w:rPr>
              <w:t>GPCB</w:t>
            </w:r>
            <w:proofErr w:type="spellEnd"/>
            <w:r w:rsidR="006B7C28" w:rsidRPr="006B7C28">
              <w:rPr>
                <w:rFonts w:asciiTheme="majorHAnsi" w:hAnsiTheme="majorHAnsi" w:cstheme="majorHAnsi"/>
                <w:b/>
                <w:bCs/>
                <w:color w:val="000000"/>
                <w:sz w:val="22"/>
                <w:szCs w:val="22"/>
                <w:highlight w:val="yellow"/>
                <w:lang w:val="en-IN" w:eastAsia="en-IN"/>
              </w:rPr>
              <w:t xml:space="preserve"> Consent</w:t>
            </w:r>
            <w:r w:rsidR="006B7C28">
              <w:rPr>
                <w:rFonts w:asciiTheme="majorHAnsi" w:hAnsiTheme="majorHAnsi" w:cstheme="majorHAnsi"/>
                <w:b/>
                <w:bCs/>
                <w:color w:val="000000"/>
                <w:sz w:val="22"/>
                <w:szCs w:val="22"/>
                <w:lang w:val="en-IN" w:eastAsia="en-IN"/>
              </w:rPr>
              <w:t xml:space="preserve"> </w:t>
            </w:r>
          </w:p>
        </w:tc>
      </w:tr>
      <w:tr w:rsidR="00F64D4B" w:rsidRPr="009D5AA5" w14:paraId="58103CFA" w14:textId="77777777" w:rsidTr="00F64D4B">
        <w:trPr>
          <w:gridAfter w:val="1"/>
          <w:wAfter w:w="222" w:type="dxa"/>
          <w:trHeight w:val="585"/>
        </w:trPr>
        <w:tc>
          <w:tcPr>
            <w:tcW w:w="713" w:type="dxa"/>
            <w:vMerge w:val="restart"/>
            <w:tcBorders>
              <w:top w:val="nil"/>
              <w:left w:val="single" w:sz="8" w:space="0" w:color="auto"/>
              <w:bottom w:val="single" w:sz="8" w:space="0" w:color="000000"/>
              <w:right w:val="single" w:sz="8" w:space="0" w:color="auto"/>
            </w:tcBorders>
            <w:shd w:val="clear" w:color="auto" w:fill="auto"/>
            <w:vAlign w:val="center"/>
            <w:hideMark/>
          </w:tcPr>
          <w:p w14:paraId="0AEB73E6" w14:textId="77777777" w:rsidR="00F64D4B" w:rsidRPr="009D5AA5" w:rsidRDefault="00F64D4B" w:rsidP="00F64D4B">
            <w:pPr>
              <w:jc w:val="cente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Sr.No</w:t>
            </w:r>
            <w:proofErr w:type="spellEnd"/>
          </w:p>
        </w:tc>
        <w:tc>
          <w:tcPr>
            <w:tcW w:w="573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C9E66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Description</w:t>
            </w:r>
          </w:p>
        </w:tc>
        <w:tc>
          <w:tcPr>
            <w:tcW w:w="6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9962A0"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Unit</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069601A"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Annual  Approx. Qty </w:t>
            </w:r>
          </w:p>
        </w:tc>
        <w:tc>
          <w:tcPr>
            <w:tcW w:w="636" w:type="dxa"/>
            <w:vMerge w:val="restart"/>
            <w:tcBorders>
              <w:top w:val="nil"/>
              <w:left w:val="single" w:sz="8" w:space="0" w:color="auto"/>
              <w:bottom w:val="single" w:sz="8" w:space="0" w:color="000000"/>
              <w:right w:val="single" w:sz="8" w:space="0" w:color="auto"/>
            </w:tcBorders>
            <w:shd w:val="clear" w:color="auto" w:fill="auto"/>
            <w:vAlign w:val="center"/>
            <w:hideMark/>
          </w:tcPr>
          <w:p w14:paraId="1598A655"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Rate per Kg/ </w:t>
            </w:r>
            <w:proofErr w:type="spellStart"/>
            <w:r w:rsidRPr="009D5AA5">
              <w:rPr>
                <w:rFonts w:asciiTheme="majorHAnsi" w:hAnsiTheme="majorHAnsi" w:cstheme="majorHAnsi"/>
                <w:b/>
                <w:bCs/>
                <w:color w:val="000000"/>
                <w:sz w:val="22"/>
                <w:szCs w:val="22"/>
                <w:lang w:val="en-IN" w:eastAsia="en-IN"/>
              </w:rPr>
              <w:t>Ltr</w:t>
            </w:r>
            <w:proofErr w:type="spellEnd"/>
          </w:p>
        </w:tc>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14:paraId="1C31B91D"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Amount per Kg/ </w:t>
            </w:r>
            <w:proofErr w:type="spellStart"/>
            <w:r w:rsidRPr="009D5AA5">
              <w:rPr>
                <w:rFonts w:asciiTheme="majorHAnsi" w:hAnsiTheme="majorHAnsi" w:cstheme="majorHAnsi"/>
                <w:b/>
                <w:bCs/>
                <w:color w:val="000000"/>
                <w:sz w:val="22"/>
                <w:szCs w:val="22"/>
                <w:lang w:val="en-IN" w:eastAsia="en-IN"/>
              </w:rPr>
              <w:t>Ltr</w:t>
            </w:r>
            <w:proofErr w:type="spellEnd"/>
          </w:p>
        </w:tc>
        <w:tc>
          <w:tcPr>
            <w:tcW w:w="1003" w:type="dxa"/>
            <w:vMerge w:val="restart"/>
            <w:tcBorders>
              <w:top w:val="nil"/>
              <w:left w:val="single" w:sz="8" w:space="0" w:color="auto"/>
              <w:bottom w:val="single" w:sz="8" w:space="0" w:color="000000"/>
              <w:right w:val="single" w:sz="8" w:space="0" w:color="auto"/>
            </w:tcBorders>
            <w:shd w:val="clear" w:color="auto" w:fill="auto"/>
            <w:vAlign w:val="center"/>
            <w:hideMark/>
          </w:tcPr>
          <w:p w14:paraId="3A9743C9" w14:textId="77777777" w:rsidR="00F64D4B" w:rsidRPr="009D5AA5" w:rsidRDefault="00F64D4B" w:rsidP="00F64D4B">
            <w:pPr>
              <w:jc w:val="center"/>
              <w:rPr>
                <w:rFonts w:asciiTheme="majorHAnsi" w:hAnsiTheme="majorHAnsi" w:cstheme="majorHAnsi"/>
                <w:b/>
                <w:bCs/>
                <w:color w:val="000000"/>
                <w:sz w:val="22"/>
                <w:szCs w:val="22"/>
                <w:lang w:val="en-IN" w:eastAsia="en-IN"/>
              </w:rPr>
            </w:pPr>
            <w:proofErr w:type="spellStart"/>
            <w:r w:rsidRPr="009D5AA5">
              <w:rPr>
                <w:rFonts w:asciiTheme="majorHAnsi" w:hAnsiTheme="majorHAnsi" w:cstheme="majorHAnsi"/>
                <w:b/>
                <w:bCs/>
                <w:color w:val="000000"/>
                <w:sz w:val="22"/>
                <w:szCs w:val="22"/>
                <w:lang w:val="en-IN" w:eastAsia="en-IN"/>
              </w:rPr>
              <w:t>GPCB</w:t>
            </w:r>
            <w:proofErr w:type="spellEnd"/>
            <w:r w:rsidRPr="009D5AA5">
              <w:rPr>
                <w:rFonts w:asciiTheme="majorHAnsi" w:hAnsiTheme="majorHAnsi" w:cstheme="majorHAnsi"/>
                <w:b/>
                <w:bCs/>
                <w:color w:val="000000"/>
                <w:sz w:val="22"/>
                <w:szCs w:val="22"/>
                <w:lang w:val="en-IN" w:eastAsia="en-IN"/>
              </w:rPr>
              <w:t xml:space="preserve"> Consent required</w:t>
            </w:r>
          </w:p>
        </w:tc>
      </w:tr>
      <w:tr w:rsidR="00F64D4B" w:rsidRPr="009D5AA5" w14:paraId="3338E793" w14:textId="77777777" w:rsidTr="00F64D4B">
        <w:trPr>
          <w:trHeight w:val="315"/>
        </w:trPr>
        <w:tc>
          <w:tcPr>
            <w:tcW w:w="713" w:type="dxa"/>
            <w:vMerge/>
            <w:tcBorders>
              <w:top w:val="nil"/>
              <w:left w:val="single" w:sz="8" w:space="0" w:color="auto"/>
              <w:bottom w:val="single" w:sz="8" w:space="0" w:color="000000"/>
              <w:right w:val="single" w:sz="8" w:space="0" w:color="auto"/>
            </w:tcBorders>
            <w:vAlign w:val="center"/>
            <w:hideMark/>
          </w:tcPr>
          <w:p w14:paraId="02001D30" w14:textId="77777777" w:rsidR="00F64D4B" w:rsidRPr="009D5AA5" w:rsidRDefault="00F64D4B" w:rsidP="00F64D4B">
            <w:pPr>
              <w:rPr>
                <w:rFonts w:asciiTheme="majorHAnsi" w:hAnsiTheme="majorHAnsi" w:cstheme="majorHAnsi"/>
                <w:color w:val="000000"/>
                <w:sz w:val="22"/>
                <w:szCs w:val="22"/>
                <w:lang w:val="en-IN" w:eastAsia="en-IN"/>
              </w:rPr>
            </w:pPr>
          </w:p>
        </w:tc>
        <w:tc>
          <w:tcPr>
            <w:tcW w:w="5739" w:type="dxa"/>
            <w:vMerge/>
            <w:tcBorders>
              <w:top w:val="nil"/>
              <w:left w:val="single" w:sz="8" w:space="0" w:color="auto"/>
              <w:bottom w:val="single" w:sz="8" w:space="0" w:color="000000"/>
              <w:right w:val="single" w:sz="8" w:space="0" w:color="auto"/>
            </w:tcBorders>
            <w:vAlign w:val="center"/>
            <w:hideMark/>
          </w:tcPr>
          <w:p w14:paraId="596C7029"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608" w:type="dxa"/>
            <w:vMerge/>
            <w:tcBorders>
              <w:top w:val="nil"/>
              <w:left w:val="single" w:sz="8" w:space="0" w:color="auto"/>
              <w:bottom w:val="single" w:sz="8" w:space="0" w:color="000000"/>
              <w:right w:val="single" w:sz="8" w:space="0" w:color="auto"/>
            </w:tcBorders>
            <w:vAlign w:val="center"/>
            <w:hideMark/>
          </w:tcPr>
          <w:p w14:paraId="3017B7CE"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42" w:type="dxa"/>
            <w:vMerge/>
            <w:tcBorders>
              <w:top w:val="nil"/>
              <w:left w:val="single" w:sz="8" w:space="0" w:color="auto"/>
              <w:bottom w:val="single" w:sz="8" w:space="0" w:color="000000"/>
              <w:right w:val="single" w:sz="8" w:space="0" w:color="auto"/>
            </w:tcBorders>
            <w:vAlign w:val="center"/>
            <w:hideMark/>
          </w:tcPr>
          <w:p w14:paraId="18F31B53"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636" w:type="dxa"/>
            <w:vMerge/>
            <w:tcBorders>
              <w:top w:val="nil"/>
              <w:left w:val="single" w:sz="8" w:space="0" w:color="auto"/>
              <w:bottom w:val="single" w:sz="8" w:space="0" w:color="000000"/>
              <w:right w:val="single" w:sz="8" w:space="0" w:color="auto"/>
            </w:tcBorders>
            <w:vAlign w:val="center"/>
            <w:hideMark/>
          </w:tcPr>
          <w:p w14:paraId="416C0F8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59" w:type="dxa"/>
            <w:vMerge/>
            <w:tcBorders>
              <w:top w:val="nil"/>
              <w:left w:val="single" w:sz="8" w:space="0" w:color="auto"/>
              <w:bottom w:val="single" w:sz="8" w:space="0" w:color="000000"/>
              <w:right w:val="single" w:sz="8" w:space="0" w:color="auto"/>
            </w:tcBorders>
            <w:vAlign w:val="center"/>
            <w:hideMark/>
          </w:tcPr>
          <w:p w14:paraId="699D6A3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1003" w:type="dxa"/>
            <w:vMerge/>
            <w:tcBorders>
              <w:top w:val="nil"/>
              <w:left w:val="single" w:sz="8" w:space="0" w:color="auto"/>
              <w:bottom w:val="single" w:sz="8" w:space="0" w:color="000000"/>
              <w:right w:val="single" w:sz="8" w:space="0" w:color="auto"/>
            </w:tcBorders>
            <w:vAlign w:val="center"/>
            <w:hideMark/>
          </w:tcPr>
          <w:p w14:paraId="57019414"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222" w:type="dxa"/>
            <w:tcBorders>
              <w:top w:val="nil"/>
              <w:left w:val="nil"/>
              <w:bottom w:val="nil"/>
              <w:right w:val="nil"/>
            </w:tcBorders>
            <w:shd w:val="clear" w:color="auto" w:fill="auto"/>
            <w:noWrap/>
            <w:vAlign w:val="bottom"/>
            <w:hideMark/>
          </w:tcPr>
          <w:p w14:paraId="729AAF02" w14:textId="77777777" w:rsidR="00F64D4B" w:rsidRPr="009D5AA5" w:rsidRDefault="00F64D4B" w:rsidP="00F64D4B">
            <w:pPr>
              <w:jc w:val="center"/>
              <w:rPr>
                <w:rFonts w:asciiTheme="majorHAnsi" w:hAnsiTheme="majorHAnsi" w:cstheme="majorHAnsi"/>
                <w:b/>
                <w:bCs/>
                <w:color w:val="000000"/>
                <w:sz w:val="22"/>
                <w:szCs w:val="22"/>
                <w:lang w:val="en-IN" w:eastAsia="en-IN"/>
              </w:rPr>
            </w:pPr>
          </w:p>
        </w:tc>
      </w:tr>
      <w:tr w:rsidR="00F64D4B" w:rsidRPr="009D5AA5" w14:paraId="67835A2D"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2918B20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w:t>
            </w:r>
          </w:p>
        </w:tc>
        <w:tc>
          <w:tcPr>
            <w:tcW w:w="5739" w:type="dxa"/>
            <w:tcBorders>
              <w:top w:val="nil"/>
              <w:left w:val="nil"/>
              <w:bottom w:val="single" w:sz="8" w:space="0" w:color="auto"/>
              <w:right w:val="single" w:sz="8" w:space="0" w:color="auto"/>
            </w:tcBorders>
            <w:shd w:val="clear" w:color="auto" w:fill="auto"/>
            <w:noWrap/>
            <w:vAlign w:val="center"/>
            <w:hideMark/>
          </w:tcPr>
          <w:p w14:paraId="3372257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with barrel</w:t>
            </w:r>
          </w:p>
        </w:tc>
        <w:tc>
          <w:tcPr>
            <w:tcW w:w="608" w:type="dxa"/>
            <w:tcBorders>
              <w:top w:val="nil"/>
              <w:left w:val="nil"/>
              <w:bottom w:val="single" w:sz="8" w:space="0" w:color="auto"/>
              <w:right w:val="single" w:sz="8" w:space="0" w:color="auto"/>
            </w:tcBorders>
            <w:shd w:val="clear" w:color="auto" w:fill="auto"/>
            <w:vAlign w:val="center"/>
            <w:hideMark/>
          </w:tcPr>
          <w:p w14:paraId="3D13E9D2"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42" w:type="dxa"/>
            <w:tcBorders>
              <w:top w:val="nil"/>
              <w:left w:val="nil"/>
              <w:bottom w:val="single" w:sz="8" w:space="0" w:color="auto"/>
              <w:right w:val="single" w:sz="8" w:space="0" w:color="auto"/>
            </w:tcBorders>
            <w:shd w:val="clear" w:color="auto" w:fill="auto"/>
            <w:vAlign w:val="center"/>
            <w:hideMark/>
          </w:tcPr>
          <w:p w14:paraId="3FFE01D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12000</w:t>
            </w:r>
          </w:p>
        </w:tc>
        <w:tc>
          <w:tcPr>
            <w:tcW w:w="636" w:type="dxa"/>
            <w:tcBorders>
              <w:top w:val="nil"/>
              <w:left w:val="nil"/>
              <w:bottom w:val="single" w:sz="8" w:space="0" w:color="auto"/>
              <w:right w:val="single" w:sz="8" w:space="0" w:color="auto"/>
            </w:tcBorders>
            <w:shd w:val="clear" w:color="auto" w:fill="auto"/>
            <w:vAlign w:val="center"/>
            <w:hideMark/>
          </w:tcPr>
          <w:p w14:paraId="0E998C2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33A319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308A43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4D91A56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A8210CC"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527508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739" w:type="dxa"/>
            <w:tcBorders>
              <w:top w:val="nil"/>
              <w:left w:val="nil"/>
              <w:bottom w:val="single" w:sz="8" w:space="0" w:color="auto"/>
              <w:right w:val="single" w:sz="8" w:space="0" w:color="auto"/>
            </w:tcBorders>
            <w:shd w:val="clear" w:color="auto" w:fill="auto"/>
            <w:noWrap/>
            <w:vAlign w:val="center"/>
            <w:hideMark/>
          </w:tcPr>
          <w:p w14:paraId="404A3A1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mixed with water</w:t>
            </w:r>
          </w:p>
        </w:tc>
        <w:tc>
          <w:tcPr>
            <w:tcW w:w="608" w:type="dxa"/>
            <w:tcBorders>
              <w:top w:val="nil"/>
              <w:left w:val="nil"/>
              <w:bottom w:val="single" w:sz="8" w:space="0" w:color="auto"/>
              <w:right w:val="single" w:sz="8" w:space="0" w:color="auto"/>
            </w:tcBorders>
            <w:shd w:val="clear" w:color="auto" w:fill="auto"/>
            <w:vAlign w:val="center"/>
            <w:hideMark/>
          </w:tcPr>
          <w:p w14:paraId="7AA46544"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42" w:type="dxa"/>
            <w:tcBorders>
              <w:top w:val="nil"/>
              <w:left w:val="nil"/>
              <w:bottom w:val="single" w:sz="8" w:space="0" w:color="auto"/>
              <w:right w:val="single" w:sz="8" w:space="0" w:color="auto"/>
            </w:tcBorders>
            <w:shd w:val="clear" w:color="auto" w:fill="auto"/>
            <w:vAlign w:val="center"/>
            <w:hideMark/>
          </w:tcPr>
          <w:p w14:paraId="0FCDCFC7"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1500</w:t>
            </w:r>
          </w:p>
        </w:tc>
        <w:tc>
          <w:tcPr>
            <w:tcW w:w="636" w:type="dxa"/>
            <w:tcBorders>
              <w:top w:val="nil"/>
              <w:left w:val="nil"/>
              <w:bottom w:val="single" w:sz="8" w:space="0" w:color="auto"/>
              <w:right w:val="single" w:sz="8" w:space="0" w:color="auto"/>
            </w:tcBorders>
            <w:shd w:val="clear" w:color="auto" w:fill="auto"/>
            <w:vAlign w:val="center"/>
            <w:hideMark/>
          </w:tcPr>
          <w:p w14:paraId="65A8B25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3CDFA5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00A7DF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0D8ECE03"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55FA3F35"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2ACB356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w:t>
            </w:r>
          </w:p>
        </w:tc>
        <w:tc>
          <w:tcPr>
            <w:tcW w:w="5739" w:type="dxa"/>
            <w:tcBorders>
              <w:top w:val="nil"/>
              <w:left w:val="nil"/>
              <w:bottom w:val="single" w:sz="8" w:space="0" w:color="auto"/>
              <w:right w:val="single" w:sz="8" w:space="0" w:color="auto"/>
            </w:tcBorders>
            <w:shd w:val="clear" w:color="auto" w:fill="auto"/>
            <w:noWrap/>
            <w:vAlign w:val="center"/>
            <w:hideMark/>
          </w:tcPr>
          <w:p w14:paraId="50CD963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Contaminated oil filter</w:t>
            </w:r>
          </w:p>
        </w:tc>
        <w:tc>
          <w:tcPr>
            <w:tcW w:w="608" w:type="dxa"/>
            <w:tcBorders>
              <w:top w:val="nil"/>
              <w:left w:val="nil"/>
              <w:bottom w:val="single" w:sz="8" w:space="0" w:color="auto"/>
              <w:right w:val="single" w:sz="8" w:space="0" w:color="auto"/>
            </w:tcBorders>
            <w:shd w:val="clear" w:color="auto" w:fill="auto"/>
            <w:vAlign w:val="center"/>
            <w:hideMark/>
          </w:tcPr>
          <w:p w14:paraId="7A08092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2154FDB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w:t>
            </w:r>
          </w:p>
        </w:tc>
        <w:tc>
          <w:tcPr>
            <w:tcW w:w="636" w:type="dxa"/>
            <w:tcBorders>
              <w:top w:val="nil"/>
              <w:left w:val="nil"/>
              <w:bottom w:val="single" w:sz="8" w:space="0" w:color="auto"/>
              <w:right w:val="single" w:sz="8" w:space="0" w:color="auto"/>
            </w:tcBorders>
            <w:shd w:val="clear" w:color="auto" w:fill="auto"/>
            <w:vAlign w:val="center"/>
            <w:hideMark/>
          </w:tcPr>
          <w:p w14:paraId="5495D40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2F50BF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DD96F6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7994A13B"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CA9E619"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7C57A7F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739" w:type="dxa"/>
            <w:tcBorders>
              <w:top w:val="nil"/>
              <w:left w:val="nil"/>
              <w:bottom w:val="single" w:sz="8" w:space="0" w:color="auto"/>
              <w:right w:val="single" w:sz="8" w:space="0" w:color="auto"/>
            </w:tcBorders>
            <w:shd w:val="clear" w:color="auto" w:fill="auto"/>
            <w:noWrap/>
            <w:vAlign w:val="center"/>
            <w:hideMark/>
          </w:tcPr>
          <w:p w14:paraId="49D2EAF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Empty Contaminated drum/tin</w:t>
            </w:r>
          </w:p>
        </w:tc>
        <w:tc>
          <w:tcPr>
            <w:tcW w:w="608" w:type="dxa"/>
            <w:tcBorders>
              <w:top w:val="nil"/>
              <w:left w:val="nil"/>
              <w:bottom w:val="single" w:sz="8" w:space="0" w:color="auto"/>
              <w:right w:val="single" w:sz="8" w:space="0" w:color="auto"/>
            </w:tcBorders>
            <w:shd w:val="clear" w:color="auto" w:fill="auto"/>
            <w:vAlign w:val="center"/>
            <w:hideMark/>
          </w:tcPr>
          <w:p w14:paraId="3B8E0AA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33CB17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w:t>
            </w:r>
          </w:p>
        </w:tc>
        <w:tc>
          <w:tcPr>
            <w:tcW w:w="636" w:type="dxa"/>
            <w:tcBorders>
              <w:top w:val="nil"/>
              <w:left w:val="nil"/>
              <w:bottom w:val="single" w:sz="8" w:space="0" w:color="auto"/>
              <w:right w:val="single" w:sz="8" w:space="0" w:color="auto"/>
            </w:tcBorders>
            <w:shd w:val="clear" w:color="auto" w:fill="auto"/>
            <w:vAlign w:val="center"/>
            <w:hideMark/>
          </w:tcPr>
          <w:p w14:paraId="5A701C0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9F052E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3A8FB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74D579A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7952747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5CED177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w:t>
            </w:r>
          </w:p>
        </w:tc>
        <w:tc>
          <w:tcPr>
            <w:tcW w:w="5739" w:type="dxa"/>
            <w:tcBorders>
              <w:top w:val="nil"/>
              <w:left w:val="nil"/>
              <w:bottom w:val="single" w:sz="8" w:space="0" w:color="auto"/>
              <w:right w:val="single" w:sz="8" w:space="0" w:color="auto"/>
            </w:tcBorders>
            <w:shd w:val="clear" w:color="auto" w:fill="auto"/>
            <w:noWrap/>
            <w:vAlign w:val="center"/>
            <w:hideMark/>
          </w:tcPr>
          <w:p w14:paraId="0EAAD80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Grease and contaminated saw dust and rags</w:t>
            </w:r>
          </w:p>
        </w:tc>
        <w:tc>
          <w:tcPr>
            <w:tcW w:w="608" w:type="dxa"/>
            <w:tcBorders>
              <w:top w:val="nil"/>
              <w:left w:val="nil"/>
              <w:bottom w:val="single" w:sz="8" w:space="0" w:color="auto"/>
              <w:right w:val="single" w:sz="8" w:space="0" w:color="auto"/>
            </w:tcBorders>
            <w:shd w:val="clear" w:color="auto" w:fill="auto"/>
            <w:vAlign w:val="center"/>
            <w:hideMark/>
          </w:tcPr>
          <w:p w14:paraId="4B2F22B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6A52D47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1500</w:t>
            </w:r>
          </w:p>
        </w:tc>
        <w:tc>
          <w:tcPr>
            <w:tcW w:w="636" w:type="dxa"/>
            <w:tcBorders>
              <w:top w:val="nil"/>
              <w:left w:val="nil"/>
              <w:bottom w:val="single" w:sz="8" w:space="0" w:color="auto"/>
              <w:right w:val="single" w:sz="8" w:space="0" w:color="auto"/>
            </w:tcBorders>
            <w:shd w:val="clear" w:color="auto" w:fill="auto"/>
            <w:vAlign w:val="center"/>
            <w:hideMark/>
          </w:tcPr>
          <w:p w14:paraId="06ACBB5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B9C76C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2C84F57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03CA0C9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E8E54FF"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6B4BEBF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739" w:type="dxa"/>
            <w:tcBorders>
              <w:top w:val="nil"/>
              <w:left w:val="nil"/>
              <w:bottom w:val="single" w:sz="8" w:space="0" w:color="auto"/>
              <w:right w:val="single" w:sz="8" w:space="0" w:color="auto"/>
            </w:tcBorders>
            <w:shd w:val="clear" w:color="auto" w:fill="auto"/>
            <w:noWrap/>
            <w:vAlign w:val="center"/>
            <w:hideMark/>
          </w:tcPr>
          <w:p w14:paraId="5AA8A65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Plastic waste</w:t>
            </w:r>
          </w:p>
        </w:tc>
        <w:tc>
          <w:tcPr>
            <w:tcW w:w="608" w:type="dxa"/>
            <w:tcBorders>
              <w:top w:val="nil"/>
              <w:left w:val="nil"/>
              <w:bottom w:val="single" w:sz="8" w:space="0" w:color="auto"/>
              <w:right w:val="single" w:sz="8" w:space="0" w:color="auto"/>
            </w:tcBorders>
            <w:shd w:val="clear" w:color="auto" w:fill="auto"/>
            <w:vAlign w:val="center"/>
            <w:hideMark/>
          </w:tcPr>
          <w:p w14:paraId="1303482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7FF4D2F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w:t>
            </w:r>
          </w:p>
        </w:tc>
        <w:tc>
          <w:tcPr>
            <w:tcW w:w="636" w:type="dxa"/>
            <w:tcBorders>
              <w:top w:val="nil"/>
              <w:left w:val="nil"/>
              <w:bottom w:val="single" w:sz="8" w:space="0" w:color="auto"/>
              <w:right w:val="single" w:sz="8" w:space="0" w:color="auto"/>
            </w:tcBorders>
            <w:shd w:val="clear" w:color="auto" w:fill="auto"/>
            <w:vAlign w:val="center"/>
            <w:hideMark/>
          </w:tcPr>
          <w:p w14:paraId="6E4F42A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71BCB53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F7FFF6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1C74F95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72B2DE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455FA50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7</w:t>
            </w:r>
          </w:p>
        </w:tc>
        <w:tc>
          <w:tcPr>
            <w:tcW w:w="5739" w:type="dxa"/>
            <w:tcBorders>
              <w:top w:val="nil"/>
              <w:left w:val="nil"/>
              <w:bottom w:val="single" w:sz="8" w:space="0" w:color="auto"/>
              <w:right w:val="single" w:sz="8" w:space="0" w:color="auto"/>
            </w:tcBorders>
            <w:shd w:val="clear" w:color="auto" w:fill="auto"/>
            <w:noWrap/>
            <w:vAlign w:val="center"/>
            <w:hideMark/>
          </w:tcPr>
          <w:p w14:paraId="014B21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types of Batteries</w:t>
            </w:r>
          </w:p>
        </w:tc>
        <w:tc>
          <w:tcPr>
            <w:tcW w:w="608" w:type="dxa"/>
            <w:tcBorders>
              <w:top w:val="nil"/>
              <w:left w:val="nil"/>
              <w:bottom w:val="single" w:sz="8" w:space="0" w:color="auto"/>
              <w:right w:val="single" w:sz="8" w:space="0" w:color="auto"/>
            </w:tcBorders>
            <w:shd w:val="clear" w:color="auto" w:fill="auto"/>
            <w:vAlign w:val="center"/>
            <w:hideMark/>
          </w:tcPr>
          <w:p w14:paraId="3A4D9C8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4E79AEC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3000</w:t>
            </w:r>
          </w:p>
        </w:tc>
        <w:tc>
          <w:tcPr>
            <w:tcW w:w="636" w:type="dxa"/>
            <w:tcBorders>
              <w:top w:val="nil"/>
              <w:left w:val="nil"/>
              <w:bottom w:val="single" w:sz="8" w:space="0" w:color="auto"/>
              <w:right w:val="single" w:sz="8" w:space="0" w:color="auto"/>
            </w:tcBorders>
            <w:shd w:val="clear" w:color="auto" w:fill="auto"/>
            <w:vAlign w:val="center"/>
            <w:hideMark/>
          </w:tcPr>
          <w:p w14:paraId="2D33945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ECD907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F2CD39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15BD38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CFD5EC0"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6E8DC5F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739" w:type="dxa"/>
            <w:tcBorders>
              <w:top w:val="nil"/>
              <w:left w:val="nil"/>
              <w:bottom w:val="single" w:sz="8" w:space="0" w:color="auto"/>
              <w:right w:val="single" w:sz="8" w:space="0" w:color="auto"/>
            </w:tcBorders>
            <w:shd w:val="clear" w:color="auto" w:fill="auto"/>
            <w:noWrap/>
            <w:vAlign w:val="center"/>
            <w:hideMark/>
          </w:tcPr>
          <w:p w14:paraId="4FF1ACD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e-waste (electrical/ IT/ Electronics/ motors)</w:t>
            </w:r>
          </w:p>
        </w:tc>
        <w:tc>
          <w:tcPr>
            <w:tcW w:w="608" w:type="dxa"/>
            <w:tcBorders>
              <w:top w:val="nil"/>
              <w:left w:val="nil"/>
              <w:bottom w:val="single" w:sz="8" w:space="0" w:color="auto"/>
              <w:right w:val="single" w:sz="8" w:space="0" w:color="auto"/>
            </w:tcBorders>
            <w:shd w:val="clear" w:color="auto" w:fill="auto"/>
            <w:vAlign w:val="center"/>
            <w:hideMark/>
          </w:tcPr>
          <w:p w14:paraId="058183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49B26EA"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7000</w:t>
            </w:r>
          </w:p>
        </w:tc>
        <w:tc>
          <w:tcPr>
            <w:tcW w:w="636" w:type="dxa"/>
            <w:tcBorders>
              <w:top w:val="nil"/>
              <w:left w:val="nil"/>
              <w:bottom w:val="single" w:sz="8" w:space="0" w:color="auto"/>
              <w:right w:val="single" w:sz="8" w:space="0" w:color="auto"/>
            </w:tcBorders>
            <w:shd w:val="clear" w:color="auto" w:fill="auto"/>
            <w:vAlign w:val="center"/>
            <w:hideMark/>
          </w:tcPr>
          <w:p w14:paraId="5F30BB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6B9D699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0E89C1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46B9479E"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0A6ED0A8" w14:textId="77777777" w:rsidTr="00F64D4B">
        <w:trPr>
          <w:trHeight w:val="315"/>
        </w:trPr>
        <w:tc>
          <w:tcPr>
            <w:tcW w:w="10600"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2F28CA3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Non- Hazardous waste</w:t>
            </w:r>
          </w:p>
        </w:tc>
        <w:tc>
          <w:tcPr>
            <w:tcW w:w="222" w:type="dxa"/>
            <w:vAlign w:val="center"/>
            <w:hideMark/>
          </w:tcPr>
          <w:p w14:paraId="4AE33B8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39DC2BC"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58477C1F"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1</w:t>
            </w:r>
          </w:p>
        </w:tc>
        <w:tc>
          <w:tcPr>
            <w:tcW w:w="5739" w:type="dxa"/>
            <w:tcBorders>
              <w:top w:val="nil"/>
              <w:left w:val="nil"/>
              <w:bottom w:val="single" w:sz="8" w:space="0" w:color="auto"/>
              <w:right w:val="single" w:sz="8" w:space="0" w:color="auto"/>
            </w:tcBorders>
            <w:shd w:val="clear" w:color="auto" w:fill="auto"/>
            <w:noWrap/>
            <w:vAlign w:val="center"/>
            <w:hideMark/>
          </w:tcPr>
          <w:p w14:paraId="497188D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Stainless steel waste</w:t>
            </w:r>
          </w:p>
        </w:tc>
        <w:tc>
          <w:tcPr>
            <w:tcW w:w="608" w:type="dxa"/>
            <w:tcBorders>
              <w:top w:val="nil"/>
              <w:left w:val="nil"/>
              <w:bottom w:val="single" w:sz="8" w:space="0" w:color="auto"/>
              <w:right w:val="single" w:sz="8" w:space="0" w:color="auto"/>
            </w:tcBorders>
            <w:shd w:val="clear" w:color="auto" w:fill="auto"/>
            <w:vAlign w:val="center"/>
            <w:hideMark/>
          </w:tcPr>
          <w:p w14:paraId="239BFA0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1D28D9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w:t>
            </w:r>
          </w:p>
        </w:tc>
        <w:tc>
          <w:tcPr>
            <w:tcW w:w="636" w:type="dxa"/>
            <w:tcBorders>
              <w:top w:val="nil"/>
              <w:left w:val="nil"/>
              <w:bottom w:val="single" w:sz="8" w:space="0" w:color="auto"/>
              <w:right w:val="single" w:sz="8" w:space="0" w:color="auto"/>
            </w:tcBorders>
            <w:shd w:val="clear" w:color="auto" w:fill="auto"/>
            <w:vAlign w:val="center"/>
            <w:hideMark/>
          </w:tcPr>
          <w:p w14:paraId="758DDD0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5E6517DA"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750FCF4"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29051906"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168D602"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64492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739" w:type="dxa"/>
            <w:tcBorders>
              <w:top w:val="nil"/>
              <w:left w:val="nil"/>
              <w:bottom w:val="single" w:sz="8" w:space="0" w:color="auto"/>
              <w:right w:val="single" w:sz="8" w:space="0" w:color="auto"/>
            </w:tcBorders>
            <w:shd w:val="clear" w:color="auto" w:fill="auto"/>
            <w:noWrap/>
            <w:vAlign w:val="center"/>
            <w:hideMark/>
          </w:tcPr>
          <w:p w14:paraId="5FA3917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MS Steel and used wire rope</w:t>
            </w:r>
          </w:p>
        </w:tc>
        <w:tc>
          <w:tcPr>
            <w:tcW w:w="608" w:type="dxa"/>
            <w:tcBorders>
              <w:top w:val="nil"/>
              <w:left w:val="nil"/>
              <w:bottom w:val="single" w:sz="8" w:space="0" w:color="auto"/>
              <w:right w:val="single" w:sz="8" w:space="0" w:color="auto"/>
            </w:tcBorders>
            <w:shd w:val="clear" w:color="auto" w:fill="auto"/>
            <w:vAlign w:val="center"/>
            <w:hideMark/>
          </w:tcPr>
          <w:p w14:paraId="2110DB3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1EB6F4B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90000</w:t>
            </w:r>
          </w:p>
        </w:tc>
        <w:tc>
          <w:tcPr>
            <w:tcW w:w="636" w:type="dxa"/>
            <w:tcBorders>
              <w:top w:val="nil"/>
              <w:left w:val="nil"/>
              <w:bottom w:val="single" w:sz="8" w:space="0" w:color="auto"/>
              <w:right w:val="single" w:sz="8" w:space="0" w:color="auto"/>
            </w:tcBorders>
            <w:shd w:val="clear" w:color="auto" w:fill="auto"/>
            <w:vAlign w:val="center"/>
            <w:hideMark/>
          </w:tcPr>
          <w:p w14:paraId="6BD811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5B22C0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F2E60A7"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113ECDC6"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55CC303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DE6E398"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3</w:t>
            </w:r>
          </w:p>
        </w:tc>
        <w:tc>
          <w:tcPr>
            <w:tcW w:w="5739" w:type="dxa"/>
            <w:tcBorders>
              <w:top w:val="nil"/>
              <w:left w:val="nil"/>
              <w:bottom w:val="single" w:sz="8" w:space="0" w:color="auto"/>
              <w:right w:val="single" w:sz="8" w:space="0" w:color="auto"/>
            </w:tcBorders>
            <w:shd w:val="clear" w:color="auto" w:fill="auto"/>
            <w:noWrap/>
            <w:vAlign w:val="center"/>
            <w:hideMark/>
          </w:tcPr>
          <w:p w14:paraId="3DB6020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Wooden scrap</w:t>
            </w:r>
          </w:p>
        </w:tc>
        <w:tc>
          <w:tcPr>
            <w:tcW w:w="608" w:type="dxa"/>
            <w:tcBorders>
              <w:top w:val="nil"/>
              <w:left w:val="nil"/>
              <w:bottom w:val="single" w:sz="8" w:space="0" w:color="auto"/>
              <w:right w:val="single" w:sz="8" w:space="0" w:color="auto"/>
            </w:tcBorders>
            <w:shd w:val="clear" w:color="auto" w:fill="auto"/>
            <w:vAlign w:val="center"/>
            <w:hideMark/>
          </w:tcPr>
          <w:p w14:paraId="0A78AF25"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2E3E7C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20000</w:t>
            </w:r>
          </w:p>
        </w:tc>
        <w:tc>
          <w:tcPr>
            <w:tcW w:w="636" w:type="dxa"/>
            <w:tcBorders>
              <w:top w:val="nil"/>
              <w:left w:val="nil"/>
              <w:bottom w:val="single" w:sz="8" w:space="0" w:color="auto"/>
              <w:right w:val="single" w:sz="8" w:space="0" w:color="auto"/>
            </w:tcBorders>
            <w:shd w:val="clear" w:color="auto" w:fill="auto"/>
            <w:vAlign w:val="center"/>
            <w:hideMark/>
          </w:tcPr>
          <w:p w14:paraId="0C40504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A54A5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C5C686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401DE44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22FC015D"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563A54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739" w:type="dxa"/>
            <w:tcBorders>
              <w:top w:val="nil"/>
              <w:left w:val="nil"/>
              <w:bottom w:val="single" w:sz="8" w:space="0" w:color="auto"/>
              <w:right w:val="single" w:sz="8" w:space="0" w:color="auto"/>
            </w:tcBorders>
            <w:shd w:val="clear" w:color="auto" w:fill="auto"/>
            <w:noWrap/>
            <w:vAlign w:val="center"/>
            <w:hideMark/>
          </w:tcPr>
          <w:p w14:paraId="2AC9283B" w14:textId="2F111032"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Rubber waste</w:t>
            </w:r>
            <w:r w:rsidR="006B7C28">
              <w:rPr>
                <w:rFonts w:asciiTheme="majorHAnsi" w:hAnsiTheme="majorHAnsi" w:cstheme="majorHAnsi"/>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 xml:space="preserve">Mandatory requirement of </w:t>
            </w:r>
            <w:proofErr w:type="spellStart"/>
            <w:r w:rsidR="006B7C28" w:rsidRPr="006B7C28">
              <w:rPr>
                <w:rFonts w:asciiTheme="majorHAnsi" w:hAnsiTheme="majorHAnsi" w:cstheme="majorHAnsi"/>
                <w:b/>
                <w:bCs/>
                <w:color w:val="000000"/>
                <w:sz w:val="22"/>
                <w:szCs w:val="22"/>
                <w:highlight w:val="yellow"/>
                <w:lang w:val="en-IN" w:eastAsia="en-IN"/>
              </w:rPr>
              <w:t>GPCB</w:t>
            </w:r>
            <w:proofErr w:type="spellEnd"/>
            <w:r w:rsidR="006B7C28" w:rsidRPr="006B7C28">
              <w:rPr>
                <w:rFonts w:asciiTheme="majorHAnsi" w:hAnsiTheme="majorHAnsi" w:cstheme="majorHAnsi"/>
                <w:b/>
                <w:bCs/>
                <w:color w:val="000000"/>
                <w:sz w:val="22"/>
                <w:szCs w:val="22"/>
                <w:highlight w:val="yellow"/>
                <w:lang w:val="en-IN" w:eastAsia="en-IN"/>
              </w:rPr>
              <w:t xml:space="preserve"> consent</w:t>
            </w:r>
            <w:r w:rsidR="006B7C28">
              <w:rPr>
                <w:rFonts w:asciiTheme="majorHAnsi" w:hAnsiTheme="majorHAnsi" w:cstheme="majorHAnsi"/>
                <w:color w:val="000000"/>
                <w:sz w:val="22"/>
                <w:szCs w:val="22"/>
                <w:lang w:val="en-IN" w:eastAsia="en-IN"/>
              </w:rPr>
              <w:t xml:space="preserve"> </w:t>
            </w:r>
          </w:p>
        </w:tc>
        <w:tc>
          <w:tcPr>
            <w:tcW w:w="608" w:type="dxa"/>
            <w:tcBorders>
              <w:top w:val="nil"/>
              <w:left w:val="nil"/>
              <w:bottom w:val="single" w:sz="8" w:space="0" w:color="auto"/>
              <w:right w:val="single" w:sz="8" w:space="0" w:color="auto"/>
            </w:tcBorders>
            <w:shd w:val="clear" w:color="auto" w:fill="auto"/>
            <w:vAlign w:val="center"/>
            <w:hideMark/>
          </w:tcPr>
          <w:p w14:paraId="02192E3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1B0D973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50000</w:t>
            </w:r>
          </w:p>
        </w:tc>
        <w:tc>
          <w:tcPr>
            <w:tcW w:w="636" w:type="dxa"/>
            <w:tcBorders>
              <w:top w:val="nil"/>
              <w:left w:val="nil"/>
              <w:bottom w:val="single" w:sz="8" w:space="0" w:color="auto"/>
              <w:right w:val="single" w:sz="8" w:space="0" w:color="auto"/>
            </w:tcBorders>
            <w:shd w:val="clear" w:color="auto" w:fill="auto"/>
            <w:vAlign w:val="center"/>
            <w:hideMark/>
          </w:tcPr>
          <w:p w14:paraId="736FFB0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9FDC2F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072D309C"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6BAE90F5"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6E0EA46"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8CD181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5</w:t>
            </w:r>
          </w:p>
        </w:tc>
        <w:tc>
          <w:tcPr>
            <w:tcW w:w="5739" w:type="dxa"/>
            <w:tcBorders>
              <w:top w:val="nil"/>
              <w:left w:val="nil"/>
              <w:bottom w:val="single" w:sz="8" w:space="0" w:color="auto"/>
              <w:right w:val="single" w:sz="8" w:space="0" w:color="auto"/>
            </w:tcBorders>
            <w:shd w:val="clear" w:color="auto" w:fill="auto"/>
            <w:noWrap/>
            <w:vAlign w:val="center"/>
            <w:hideMark/>
          </w:tcPr>
          <w:p w14:paraId="2F21F2E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xml:space="preserve">Waste Glass </w:t>
            </w:r>
          </w:p>
        </w:tc>
        <w:tc>
          <w:tcPr>
            <w:tcW w:w="608" w:type="dxa"/>
            <w:tcBorders>
              <w:top w:val="nil"/>
              <w:left w:val="nil"/>
              <w:bottom w:val="single" w:sz="8" w:space="0" w:color="auto"/>
              <w:right w:val="single" w:sz="8" w:space="0" w:color="auto"/>
            </w:tcBorders>
            <w:shd w:val="clear" w:color="auto" w:fill="auto"/>
            <w:vAlign w:val="center"/>
            <w:hideMark/>
          </w:tcPr>
          <w:p w14:paraId="446FC1B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0E67356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36" w:type="dxa"/>
            <w:tcBorders>
              <w:top w:val="nil"/>
              <w:left w:val="nil"/>
              <w:bottom w:val="single" w:sz="8" w:space="0" w:color="auto"/>
              <w:right w:val="single" w:sz="8" w:space="0" w:color="auto"/>
            </w:tcBorders>
            <w:shd w:val="clear" w:color="auto" w:fill="auto"/>
            <w:vAlign w:val="center"/>
            <w:hideMark/>
          </w:tcPr>
          <w:p w14:paraId="287801B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EE7834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2A42FE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5FCEAD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DEADA10"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4D883C9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739" w:type="dxa"/>
            <w:tcBorders>
              <w:top w:val="nil"/>
              <w:left w:val="nil"/>
              <w:bottom w:val="single" w:sz="8" w:space="0" w:color="auto"/>
              <w:right w:val="single" w:sz="8" w:space="0" w:color="auto"/>
            </w:tcBorders>
            <w:shd w:val="clear" w:color="auto" w:fill="auto"/>
            <w:noWrap/>
            <w:vAlign w:val="center"/>
            <w:hideMark/>
          </w:tcPr>
          <w:p w14:paraId="7E888F44"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Aluminium  waste</w:t>
            </w:r>
          </w:p>
        </w:tc>
        <w:tc>
          <w:tcPr>
            <w:tcW w:w="608" w:type="dxa"/>
            <w:tcBorders>
              <w:top w:val="nil"/>
              <w:left w:val="nil"/>
              <w:bottom w:val="single" w:sz="8" w:space="0" w:color="auto"/>
              <w:right w:val="single" w:sz="8" w:space="0" w:color="auto"/>
            </w:tcBorders>
            <w:shd w:val="clear" w:color="auto" w:fill="auto"/>
            <w:vAlign w:val="center"/>
            <w:hideMark/>
          </w:tcPr>
          <w:p w14:paraId="57ED28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4047E47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2000</w:t>
            </w:r>
          </w:p>
        </w:tc>
        <w:tc>
          <w:tcPr>
            <w:tcW w:w="636" w:type="dxa"/>
            <w:tcBorders>
              <w:top w:val="nil"/>
              <w:left w:val="nil"/>
              <w:bottom w:val="single" w:sz="8" w:space="0" w:color="auto"/>
              <w:right w:val="single" w:sz="8" w:space="0" w:color="auto"/>
            </w:tcBorders>
            <w:shd w:val="clear" w:color="auto" w:fill="auto"/>
            <w:vAlign w:val="center"/>
            <w:hideMark/>
          </w:tcPr>
          <w:p w14:paraId="21137C7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039A008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4611F53B"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39F9C44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BF94D05"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75BC799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7</w:t>
            </w:r>
          </w:p>
        </w:tc>
        <w:tc>
          <w:tcPr>
            <w:tcW w:w="5739" w:type="dxa"/>
            <w:tcBorders>
              <w:top w:val="nil"/>
              <w:left w:val="nil"/>
              <w:bottom w:val="single" w:sz="8" w:space="0" w:color="auto"/>
              <w:right w:val="single" w:sz="8" w:space="0" w:color="auto"/>
            </w:tcBorders>
            <w:shd w:val="clear" w:color="auto" w:fill="auto"/>
            <w:noWrap/>
            <w:vAlign w:val="center"/>
            <w:hideMark/>
          </w:tcPr>
          <w:p w14:paraId="5A9197A1"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Cables - copper + A/c coper condenser coil</w:t>
            </w:r>
          </w:p>
        </w:tc>
        <w:tc>
          <w:tcPr>
            <w:tcW w:w="608" w:type="dxa"/>
            <w:tcBorders>
              <w:top w:val="nil"/>
              <w:left w:val="nil"/>
              <w:bottom w:val="single" w:sz="8" w:space="0" w:color="auto"/>
              <w:right w:val="single" w:sz="8" w:space="0" w:color="auto"/>
            </w:tcBorders>
            <w:shd w:val="clear" w:color="auto" w:fill="auto"/>
            <w:vAlign w:val="center"/>
            <w:hideMark/>
          </w:tcPr>
          <w:p w14:paraId="1E72EC6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9E4215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36" w:type="dxa"/>
            <w:tcBorders>
              <w:top w:val="nil"/>
              <w:left w:val="nil"/>
              <w:bottom w:val="single" w:sz="8" w:space="0" w:color="auto"/>
              <w:right w:val="single" w:sz="8" w:space="0" w:color="auto"/>
            </w:tcBorders>
            <w:shd w:val="clear" w:color="auto" w:fill="auto"/>
            <w:vAlign w:val="center"/>
            <w:hideMark/>
          </w:tcPr>
          <w:p w14:paraId="7FE076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612184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DEC61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5075A2F4"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FE7DAEE" w14:textId="77777777" w:rsidTr="00F64D4B">
        <w:trPr>
          <w:trHeight w:val="330"/>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60CA59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739" w:type="dxa"/>
            <w:tcBorders>
              <w:top w:val="nil"/>
              <w:left w:val="nil"/>
              <w:bottom w:val="single" w:sz="8" w:space="0" w:color="auto"/>
              <w:right w:val="single" w:sz="8" w:space="0" w:color="auto"/>
            </w:tcBorders>
            <w:shd w:val="clear" w:color="auto" w:fill="auto"/>
            <w:noWrap/>
            <w:vAlign w:val="center"/>
            <w:hideMark/>
          </w:tcPr>
          <w:p w14:paraId="1E3A47FC"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Scraped all types of fibbers pcs and scraped polypropylene</w:t>
            </w:r>
          </w:p>
        </w:tc>
        <w:tc>
          <w:tcPr>
            <w:tcW w:w="608" w:type="dxa"/>
            <w:tcBorders>
              <w:top w:val="nil"/>
              <w:left w:val="nil"/>
              <w:bottom w:val="single" w:sz="8" w:space="0" w:color="auto"/>
              <w:right w:val="single" w:sz="8" w:space="0" w:color="auto"/>
            </w:tcBorders>
            <w:shd w:val="clear" w:color="auto" w:fill="auto"/>
            <w:vAlign w:val="center"/>
            <w:hideMark/>
          </w:tcPr>
          <w:p w14:paraId="3CE8611E"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9E29C2F"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500</w:t>
            </w:r>
          </w:p>
        </w:tc>
        <w:tc>
          <w:tcPr>
            <w:tcW w:w="636" w:type="dxa"/>
            <w:tcBorders>
              <w:top w:val="nil"/>
              <w:left w:val="nil"/>
              <w:bottom w:val="single" w:sz="8" w:space="0" w:color="auto"/>
              <w:right w:val="single" w:sz="8" w:space="0" w:color="auto"/>
            </w:tcBorders>
            <w:shd w:val="clear" w:color="auto" w:fill="auto"/>
            <w:vAlign w:val="center"/>
            <w:hideMark/>
          </w:tcPr>
          <w:p w14:paraId="458E7A36"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05F339DF"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EFFC1BA"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No</w:t>
            </w:r>
          </w:p>
        </w:tc>
        <w:tc>
          <w:tcPr>
            <w:tcW w:w="222" w:type="dxa"/>
            <w:vAlign w:val="center"/>
            <w:hideMark/>
          </w:tcPr>
          <w:p w14:paraId="14B7F2B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6C90025" w14:textId="77777777" w:rsidTr="00F64D4B">
        <w:trPr>
          <w:trHeight w:val="330"/>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2CC6C4FD"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9</w:t>
            </w:r>
          </w:p>
        </w:tc>
        <w:tc>
          <w:tcPr>
            <w:tcW w:w="5739" w:type="dxa"/>
            <w:tcBorders>
              <w:top w:val="nil"/>
              <w:left w:val="nil"/>
              <w:bottom w:val="single" w:sz="8" w:space="0" w:color="auto"/>
              <w:right w:val="single" w:sz="8" w:space="0" w:color="auto"/>
            </w:tcBorders>
            <w:shd w:val="clear" w:color="auto" w:fill="auto"/>
            <w:noWrap/>
            <w:vAlign w:val="center"/>
            <w:hideMark/>
          </w:tcPr>
          <w:p w14:paraId="607FE05F"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Galvalume corrugated sheet</w:t>
            </w:r>
          </w:p>
        </w:tc>
        <w:tc>
          <w:tcPr>
            <w:tcW w:w="608" w:type="dxa"/>
            <w:tcBorders>
              <w:top w:val="nil"/>
              <w:left w:val="nil"/>
              <w:bottom w:val="single" w:sz="8" w:space="0" w:color="auto"/>
              <w:right w:val="single" w:sz="8" w:space="0" w:color="auto"/>
            </w:tcBorders>
            <w:shd w:val="clear" w:color="auto" w:fill="auto"/>
            <w:vAlign w:val="center"/>
            <w:hideMark/>
          </w:tcPr>
          <w:p w14:paraId="24CF7AC6"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46A5C4BD"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5000</w:t>
            </w:r>
          </w:p>
        </w:tc>
        <w:tc>
          <w:tcPr>
            <w:tcW w:w="636" w:type="dxa"/>
            <w:tcBorders>
              <w:top w:val="nil"/>
              <w:left w:val="nil"/>
              <w:bottom w:val="single" w:sz="8" w:space="0" w:color="auto"/>
              <w:right w:val="single" w:sz="8" w:space="0" w:color="auto"/>
            </w:tcBorders>
            <w:shd w:val="clear" w:color="auto" w:fill="auto"/>
            <w:vAlign w:val="center"/>
            <w:hideMark/>
          </w:tcPr>
          <w:p w14:paraId="60795316"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9755753"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5A3C6F3"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No</w:t>
            </w:r>
          </w:p>
        </w:tc>
        <w:tc>
          <w:tcPr>
            <w:tcW w:w="222" w:type="dxa"/>
            <w:vAlign w:val="center"/>
            <w:hideMark/>
          </w:tcPr>
          <w:p w14:paraId="471409CE" w14:textId="77777777" w:rsidR="00F64D4B" w:rsidRPr="009D5AA5" w:rsidRDefault="00F64D4B" w:rsidP="00F64D4B">
            <w:pPr>
              <w:rPr>
                <w:rFonts w:asciiTheme="majorHAnsi" w:hAnsiTheme="majorHAnsi" w:cstheme="majorHAnsi"/>
                <w:sz w:val="20"/>
                <w:szCs w:val="20"/>
                <w:lang w:val="en-IN" w:eastAsia="en-IN"/>
              </w:rPr>
            </w:pPr>
          </w:p>
        </w:tc>
      </w:tr>
    </w:tbl>
    <w:p w14:paraId="53516A09" w14:textId="77777777" w:rsidR="00F64D4B" w:rsidRPr="009D5AA5" w:rsidRDefault="00F64D4B" w:rsidP="00F64D4B">
      <w:pPr>
        <w:spacing w:line="480" w:lineRule="auto"/>
        <w:rPr>
          <w:rFonts w:asciiTheme="majorHAnsi" w:hAnsiTheme="majorHAnsi" w:cstheme="majorHAnsi"/>
        </w:rPr>
      </w:pPr>
    </w:p>
    <w:sectPr w:rsidR="00F64D4B" w:rsidRPr="009D5A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6BD4" w14:textId="77777777" w:rsidR="008D3903" w:rsidRDefault="008D3903" w:rsidP="00C578DA">
      <w:r>
        <w:separator/>
      </w:r>
    </w:p>
  </w:endnote>
  <w:endnote w:type="continuationSeparator" w:id="0">
    <w:p w14:paraId="764DDC94" w14:textId="77777777" w:rsidR="008D3903" w:rsidRDefault="008D3903" w:rsidP="00C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241B" w14:textId="77777777" w:rsidR="00C578DA" w:rsidRDefault="00C578DA">
    <w:pPr>
      <w:pStyle w:val="Footer"/>
    </w:pPr>
    <w:r>
      <w:rPr>
        <w:noProof/>
      </w:rPr>
      <mc:AlternateContent>
        <mc:Choice Requires="wps">
          <w:drawing>
            <wp:anchor distT="0" distB="0" distL="114300" distR="114300" simplePos="0" relativeHeight="251659264" behindDoc="0" locked="0" layoutInCell="0" allowOverlap="1" wp14:anchorId="79118F4D" wp14:editId="31B3754F">
              <wp:simplePos x="0" y="0"/>
              <wp:positionH relativeFrom="page">
                <wp:posOffset>0</wp:posOffset>
              </wp:positionH>
              <wp:positionV relativeFrom="page">
                <wp:posOffset>10234930</wp:posOffset>
              </wp:positionV>
              <wp:extent cx="7560310" cy="266700"/>
              <wp:effectExtent l="0" t="0" r="0" b="0"/>
              <wp:wrapNone/>
              <wp:docPr id="1" name="MSIPCM9407405a885a38022f9ebac0"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18F4D" id="_x0000_t202" coordsize="21600,21600" o:spt="202" path="m,l,21600r21600,l21600,xe">
              <v:stroke joinstyle="miter"/>
              <v:path gradientshapeok="t" o:connecttype="rect"/>
            </v:shapetype>
            <v:shape id="MSIPCM9407405a885a38022f9ebac0" o:spid="_x0000_s1026" type="#_x0000_t202" alt="{&quot;HashCode&quot;:-47060197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0EE7" w14:textId="77777777" w:rsidR="008D3903" w:rsidRDefault="008D3903" w:rsidP="00C578DA">
      <w:r>
        <w:separator/>
      </w:r>
    </w:p>
  </w:footnote>
  <w:footnote w:type="continuationSeparator" w:id="0">
    <w:p w14:paraId="40A9D4CD" w14:textId="77777777" w:rsidR="008D3903" w:rsidRDefault="008D3903" w:rsidP="00C5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FE"/>
    <w:multiLevelType w:val="multilevel"/>
    <w:tmpl w:val="CB62273E"/>
    <w:lvl w:ilvl="0">
      <w:start w:val="1"/>
      <w:numFmt w:val="decimal"/>
      <w:lvlText w:val="%1."/>
      <w:lvlJc w:val="left"/>
      <w:pPr>
        <w:ind w:left="720" w:hanging="360"/>
      </w:pPr>
      <w:rPr>
        <w:rFonts w:hint="default"/>
      </w:rPr>
    </w:lvl>
    <w:lvl w:ilvl="1">
      <w:start w:val="1"/>
      <w:numFmt w:val="lowerRoman"/>
      <w:lvlText w:val="%2."/>
      <w:lvlJc w:val="right"/>
      <w:pPr>
        <w:ind w:left="1080" w:hanging="720"/>
      </w:pPr>
      <w:rPr>
        <w:rFonts w:hint="default"/>
      </w:rPr>
    </w:lvl>
    <w:lvl w:ilvl="2">
      <w:start w:val="1"/>
      <w:numFmt w:val="lowerRoman"/>
      <w:lvlText w:val="%3."/>
      <w:lvlJc w:val="righ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2555A9"/>
    <w:multiLevelType w:val="multilevel"/>
    <w:tmpl w:val="E746001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273E66"/>
    <w:multiLevelType w:val="hybridMultilevel"/>
    <w:tmpl w:val="33E2BB7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1CB58B9"/>
    <w:multiLevelType w:val="multilevel"/>
    <w:tmpl w:val="ECEA503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BF4100"/>
    <w:multiLevelType w:val="hybridMultilevel"/>
    <w:tmpl w:val="D2BABFD2"/>
    <w:lvl w:ilvl="0" w:tplc="FFFFFFFF">
      <w:start w:val="3"/>
      <w:numFmt w:val="upperLetter"/>
      <w:lvlText w:val="%1."/>
      <w:lvlJc w:val="left"/>
      <w:pPr>
        <w:tabs>
          <w:tab w:val="num" w:pos="1170"/>
        </w:tabs>
        <w:ind w:left="1170" w:hanging="810"/>
      </w:pPr>
      <w:rPr>
        <w:rFonts w:hint="default"/>
      </w:rPr>
    </w:lvl>
    <w:lvl w:ilvl="1" w:tplc="FFFFFFFF">
      <w:start w:val="11"/>
      <w:numFmt w:val="decimal"/>
      <w:lvlText w:val="%2."/>
      <w:lvlJc w:val="left"/>
      <w:pPr>
        <w:tabs>
          <w:tab w:val="num" w:pos="1800"/>
        </w:tabs>
        <w:ind w:left="180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2B401E"/>
    <w:multiLevelType w:val="multilevel"/>
    <w:tmpl w:val="15C44F8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64251D4"/>
    <w:multiLevelType w:val="multilevel"/>
    <w:tmpl w:val="D6DE79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2C7B06"/>
    <w:multiLevelType w:val="hybridMultilevel"/>
    <w:tmpl w:val="DF2ACD2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3EC53E29"/>
    <w:multiLevelType w:val="multilevel"/>
    <w:tmpl w:val="F370AC2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5400F4"/>
    <w:multiLevelType w:val="multilevel"/>
    <w:tmpl w:val="894C9C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0108E0"/>
    <w:multiLevelType w:val="hybridMultilevel"/>
    <w:tmpl w:val="5BF43DEC"/>
    <w:lvl w:ilvl="0" w:tplc="FFFFFFFF">
      <w:start w:val="1"/>
      <w:numFmt w:val="lowerLetter"/>
      <w:lvlText w:val="%1)"/>
      <w:lvlJc w:val="left"/>
      <w:pPr>
        <w:tabs>
          <w:tab w:val="num" w:pos="720"/>
        </w:tabs>
        <w:ind w:left="720" w:hanging="540"/>
      </w:pPr>
      <w:rPr>
        <w:rFonts w:hint="default"/>
      </w:rPr>
    </w:lvl>
    <w:lvl w:ilvl="1" w:tplc="FFFFFFFF">
      <w:start w:val="1"/>
      <w:numFmt w:val="low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15:restartNumberingAfterBreak="0">
    <w:nsid w:val="5BF75721"/>
    <w:multiLevelType w:val="multilevel"/>
    <w:tmpl w:val="8E7A6E7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8051B6"/>
    <w:multiLevelType w:val="hybridMultilevel"/>
    <w:tmpl w:val="4B5EEAB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66EE744D"/>
    <w:multiLevelType w:val="multilevel"/>
    <w:tmpl w:val="F3D26B0A"/>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525090"/>
    <w:multiLevelType w:val="hybridMultilevel"/>
    <w:tmpl w:val="0308BAC4"/>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B073233"/>
    <w:multiLevelType w:val="multilevel"/>
    <w:tmpl w:val="FC32B5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7619B1"/>
    <w:multiLevelType w:val="hybridMultilevel"/>
    <w:tmpl w:val="25D83712"/>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7E054F3B"/>
    <w:multiLevelType w:val="hybridMultilevel"/>
    <w:tmpl w:val="EBBAEC32"/>
    <w:lvl w:ilvl="0" w:tplc="D492796C">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35253">
    <w:abstractNumId w:val="0"/>
  </w:num>
  <w:num w:numId="2" w16cid:durableId="8072200">
    <w:abstractNumId w:val="17"/>
  </w:num>
  <w:num w:numId="3" w16cid:durableId="1611857943">
    <w:abstractNumId w:val="2"/>
  </w:num>
  <w:num w:numId="4" w16cid:durableId="1596597163">
    <w:abstractNumId w:val="12"/>
  </w:num>
  <w:num w:numId="5" w16cid:durableId="1465001788">
    <w:abstractNumId w:val="9"/>
  </w:num>
  <w:num w:numId="6" w16cid:durableId="1141849813">
    <w:abstractNumId w:val="5"/>
  </w:num>
  <w:num w:numId="7" w16cid:durableId="1358391474">
    <w:abstractNumId w:val="14"/>
  </w:num>
  <w:num w:numId="8" w16cid:durableId="1161198654">
    <w:abstractNumId w:val="4"/>
  </w:num>
  <w:num w:numId="9" w16cid:durableId="750078723">
    <w:abstractNumId w:val="10"/>
  </w:num>
  <w:num w:numId="10" w16cid:durableId="1076365267">
    <w:abstractNumId w:val="16"/>
  </w:num>
  <w:num w:numId="11" w16cid:durableId="1980644623">
    <w:abstractNumId w:val="6"/>
  </w:num>
  <w:num w:numId="12" w16cid:durableId="1360887320">
    <w:abstractNumId w:val="15"/>
  </w:num>
  <w:num w:numId="13" w16cid:durableId="2123767422">
    <w:abstractNumId w:val="3"/>
  </w:num>
  <w:num w:numId="14" w16cid:durableId="1835022418">
    <w:abstractNumId w:val="1"/>
  </w:num>
  <w:num w:numId="15" w16cid:durableId="1662001067">
    <w:abstractNumId w:val="11"/>
  </w:num>
  <w:num w:numId="16" w16cid:durableId="988754055">
    <w:abstractNumId w:val="8"/>
  </w:num>
  <w:num w:numId="17" w16cid:durableId="2065711302">
    <w:abstractNumId w:val="13"/>
  </w:num>
  <w:num w:numId="18" w16cid:durableId="1464544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CB"/>
    <w:rsid w:val="00064753"/>
    <w:rsid w:val="001E6298"/>
    <w:rsid w:val="002814CA"/>
    <w:rsid w:val="004070AF"/>
    <w:rsid w:val="00440191"/>
    <w:rsid w:val="0046747B"/>
    <w:rsid w:val="0048450C"/>
    <w:rsid w:val="00554C06"/>
    <w:rsid w:val="005572B5"/>
    <w:rsid w:val="005F3275"/>
    <w:rsid w:val="00635566"/>
    <w:rsid w:val="006B7C28"/>
    <w:rsid w:val="007D5FCB"/>
    <w:rsid w:val="008D0889"/>
    <w:rsid w:val="008D3903"/>
    <w:rsid w:val="00915C95"/>
    <w:rsid w:val="009A3CC4"/>
    <w:rsid w:val="009D5AA5"/>
    <w:rsid w:val="00AD2395"/>
    <w:rsid w:val="00AE670F"/>
    <w:rsid w:val="00BF2C0E"/>
    <w:rsid w:val="00C42084"/>
    <w:rsid w:val="00C578DA"/>
    <w:rsid w:val="00C765AA"/>
    <w:rsid w:val="00D65B4D"/>
    <w:rsid w:val="00D81314"/>
    <w:rsid w:val="00DC5DCE"/>
    <w:rsid w:val="00DD5A08"/>
    <w:rsid w:val="00DE26EB"/>
    <w:rsid w:val="00EB390C"/>
    <w:rsid w:val="00F64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13B"/>
  <w15:chartTrackingRefBased/>
  <w15:docId w15:val="{EE0211FC-5E1B-4136-8272-8A442213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D5FC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semiHidden/>
    <w:unhideWhenUsed/>
    <w:qFormat/>
    <w:rsid w:val="00C420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FCB"/>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C578DA"/>
    <w:pPr>
      <w:tabs>
        <w:tab w:val="center" w:pos="4513"/>
        <w:tab w:val="right" w:pos="9026"/>
      </w:tabs>
    </w:pPr>
  </w:style>
  <w:style w:type="character" w:customStyle="1" w:styleId="HeaderChar">
    <w:name w:val="Header Char"/>
    <w:basedOn w:val="DefaultParagraphFont"/>
    <w:link w:val="Header"/>
    <w:uiPriority w:val="99"/>
    <w:rsid w:val="00C578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8DA"/>
    <w:pPr>
      <w:tabs>
        <w:tab w:val="center" w:pos="4513"/>
        <w:tab w:val="right" w:pos="9026"/>
      </w:tabs>
    </w:pPr>
  </w:style>
  <w:style w:type="character" w:customStyle="1" w:styleId="FooterChar">
    <w:name w:val="Footer Char"/>
    <w:basedOn w:val="DefaultParagraphFont"/>
    <w:link w:val="Footer"/>
    <w:uiPriority w:val="99"/>
    <w:rsid w:val="00C578D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5C95"/>
    <w:pPr>
      <w:ind w:left="720"/>
      <w:contextualSpacing/>
    </w:pPr>
  </w:style>
  <w:style w:type="character" w:customStyle="1" w:styleId="Heading2Char">
    <w:name w:val="Heading 2 Char"/>
    <w:basedOn w:val="DefaultParagraphFont"/>
    <w:link w:val="Heading2"/>
    <w:uiPriority w:val="9"/>
    <w:semiHidden/>
    <w:rsid w:val="00C42084"/>
    <w:rPr>
      <w:rFonts w:asciiTheme="majorHAnsi" w:eastAsiaTheme="majorEastAsia" w:hAnsiTheme="majorHAnsi" w:cstheme="majorBidi"/>
      <w:color w:val="2F5496" w:themeColor="accent1" w:themeShade="BF"/>
      <w:sz w:val="26"/>
      <w:szCs w:val="26"/>
      <w:lang w:val="en-US"/>
    </w:rPr>
  </w:style>
  <w:style w:type="paragraph" w:styleId="BodyTextIndent">
    <w:name w:val="Body Text Indent"/>
    <w:basedOn w:val="Normal"/>
    <w:link w:val="BodyTextIndentChar"/>
    <w:rsid w:val="00C42084"/>
    <w:pPr>
      <w:ind w:left="720" w:hanging="720"/>
      <w:jc w:val="both"/>
    </w:pPr>
  </w:style>
  <w:style w:type="character" w:customStyle="1" w:styleId="BodyTextIndentChar">
    <w:name w:val="Body Text Indent Char"/>
    <w:basedOn w:val="DefaultParagraphFont"/>
    <w:link w:val="BodyTextIndent"/>
    <w:rsid w:val="00C42084"/>
    <w:rPr>
      <w:rFonts w:ascii="Times New Roman" w:eastAsia="Times New Roman" w:hAnsi="Times New Roman" w:cs="Times New Roman"/>
      <w:sz w:val="24"/>
      <w:szCs w:val="24"/>
      <w:lang w:val="en-US"/>
    </w:rPr>
  </w:style>
  <w:style w:type="paragraph" w:styleId="Title">
    <w:name w:val="Title"/>
    <w:basedOn w:val="Normal"/>
    <w:link w:val="TitleChar"/>
    <w:qFormat/>
    <w:rsid w:val="00C42084"/>
    <w:pPr>
      <w:jc w:val="center"/>
    </w:pPr>
    <w:rPr>
      <w:b/>
      <w:bCs/>
    </w:rPr>
  </w:style>
  <w:style w:type="character" w:customStyle="1" w:styleId="TitleChar">
    <w:name w:val="Title Char"/>
    <w:basedOn w:val="DefaultParagraphFont"/>
    <w:link w:val="Title"/>
    <w:rsid w:val="00C42084"/>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635566"/>
    <w:rPr>
      <w:color w:val="0563C1" w:themeColor="hyperlink"/>
      <w:u w:val="single"/>
    </w:rPr>
  </w:style>
  <w:style w:type="character" w:styleId="UnresolvedMention">
    <w:name w:val="Unresolved Mention"/>
    <w:basedOn w:val="DefaultParagraphFont"/>
    <w:uiPriority w:val="99"/>
    <w:semiHidden/>
    <w:unhideWhenUsed/>
    <w:rsid w:val="0063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224">
      <w:bodyDiv w:val="1"/>
      <w:marLeft w:val="0"/>
      <w:marRight w:val="0"/>
      <w:marTop w:val="0"/>
      <w:marBottom w:val="0"/>
      <w:divBdr>
        <w:top w:val="none" w:sz="0" w:space="0" w:color="auto"/>
        <w:left w:val="none" w:sz="0" w:space="0" w:color="auto"/>
        <w:bottom w:val="none" w:sz="0" w:space="0" w:color="auto"/>
        <w:right w:val="none" w:sz="0" w:space="0" w:color="auto"/>
      </w:divBdr>
    </w:div>
    <w:div w:id="1106149350">
      <w:bodyDiv w:val="1"/>
      <w:marLeft w:val="0"/>
      <w:marRight w:val="0"/>
      <w:marTop w:val="0"/>
      <w:marBottom w:val="0"/>
      <w:divBdr>
        <w:top w:val="none" w:sz="0" w:space="0" w:color="auto"/>
        <w:left w:val="none" w:sz="0" w:space="0" w:color="auto"/>
        <w:bottom w:val="none" w:sz="0" w:space="0" w:color="auto"/>
        <w:right w:val="none" w:sz="0" w:space="0" w:color="auto"/>
      </w:divBdr>
    </w:div>
    <w:div w:id="20052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rendra.rawal@apm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Sajal Chakraborty</dc:creator>
  <cp:keywords/>
  <dc:description/>
  <cp:lastModifiedBy>Sajal Chakraborty</cp:lastModifiedBy>
  <cp:revision>4</cp:revision>
  <dcterms:created xsi:type="dcterms:W3CDTF">2023-05-27T07:52:00Z</dcterms:created>
  <dcterms:modified xsi:type="dcterms:W3CDTF">2023-05-27T07:56:00Z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2023-05-27T07:56:30Z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a56d2648-02db-4079-8ce0-d89eaa35011b</vt:lpwstr>
  </property>
  <property fmtid="{D5CDD505-2E9C-101B-9397-08002B2CF9AE}" pid="8" name="MSIP_Label_71bba39d-4745-4e9d-97db-0c1927b54242_ContentBits">
    <vt:lpwstr>2</vt:lpwstr>
  </property>
</Properties>
</file>