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DD6" w:rsidRPr="00856C7C" w:rsidRDefault="002D7DD6" w:rsidP="00856C7C">
      <w:pPr>
        <w:ind w:right="-67"/>
        <w:contextualSpacing/>
        <w:jc w:val="center"/>
        <w:rPr>
          <w:b/>
          <w:w w:val="110"/>
          <w:sz w:val="20"/>
          <w:szCs w:val="20"/>
        </w:rPr>
      </w:pPr>
      <w:r w:rsidRPr="00856C7C">
        <w:rPr>
          <w:b/>
          <w:w w:val="110"/>
          <w:sz w:val="20"/>
          <w:szCs w:val="20"/>
        </w:rPr>
        <w:t>(To be published in Part - III Section 4 of the Gazette of India, Extraordinary)</w:t>
      </w:r>
    </w:p>
    <w:p w:rsidR="002D7DD6" w:rsidRPr="00856C7C" w:rsidRDefault="002D7DD6" w:rsidP="00856C7C">
      <w:pPr>
        <w:keepNext/>
        <w:tabs>
          <w:tab w:val="left" w:pos="8309"/>
        </w:tabs>
        <w:contextualSpacing/>
        <w:jc w:val="center"/>
        <w:outlineLvl w:val="0"/>
        <w:rPr>
          <w:rFonts w:cs="Times New Roman"/>
          <w:b/>
          <w:bCs w:val="0"/>
          <w:iCs/>
          <w:w w:val="150"/>
          <w:sz w:val="20"/>
          <w:szCs w:val="20"/>
          <w:u w:val="single"/>
          <w:lang w:bidi="hi-IN"/>
        </w:rPr>
      </w:pPr>
      <w:r w:rsidRPr="00856C7C">
        <w:rPr>
          <w:rFonts w:cs="Times New Roman"/>
          <w:b/>
          <w:bCs w:val="0"/>
          <w:iCs/>
          <w:w w:val="150"/>
          <w:sz w:val="20"/>
          <w:szCs w:val="20"/>
          <w:u w:val="single"/>
          <w:lang w:bidi="hi-IN"/>
        </w:rPr>
        <w:t>TARIFF AUTHORITY FOR MAJOR PORTS</w:t>
      </w:r>
    </w:p>
    <w:p w:rsidR="002D7DD6" w:rsidRPr="00856C7C" w:rsidRDefault="002D7DD6" w:rsidP="00856C7C">
      <w:pPr>
        <w:contextualSpacing/>
        <w:jc w:val="both"/>
        <w:rPr>
          <w:b/>
          <w:bCs w:val="0"/>
          <w:i/>
          <w:iCs/>
          <w:sz w:val="20"/>
          <w:szCs w:val="20"/>
        </w:rPr>
      </w:pPr>
    </w:p>
    <w:p w:rsidR="00856C7C" w:rsidRDefault="00856C7C" w:rsidP="00856C7C">
      <w:pPr>
        <w:contextualSpacing/>
        <w:jc w:val="both"/>
        <w:rPr>
          <w:b/>
          <w:sz w:val="20"/>
          <w:szCs w:val="20"/>
        </w:rPr>
      </w:pPr>
    </w:p>
    <w:p w:rsidR="002D7DD6" w:rsidRPr="00856C7C" w:rsidRDefault="00EA5148" w:rsidP="00856C7C">
      <w:pPr>
        <w:contextualSpacing/>
        <w:jc w:val="both"/>
        <w:rPr>
          <w:b/>
          <w:bCs w:val="0"/>
          <w:sz w:val="20"/>
          <w:szCs w:val="20"/>
        </w:rPr>
      </w:pPr>
      <w:r w:rsidRPr="00856C7C">
        <w:rPr>
          <w:b/>
          <w:sz w:val="20"/>
          <w:szCs w:val="20"/>
        </w:rPr>
        <w:t>No. TAMP/30/2020</w:t>
      </w:r>
      <w:r w:rsidR="002D7DD6" w:rsidRPr="00856C7C">
        <w:rPr>
          <w:b/>
          <w:sz w:val="20"/>
          <w:szCs w:val="20"/>
        </w:rPr>
        <w:t>-</w:t>
      </w:r>
      <w:r w:rsidR="00B059FC" w:rsidRPr="00856C7C">
        <w:rPr>
          <w:b/>
          <w:sz w:val="20"/>
          <w:szCs w:val="20"/>
        </w:rPr>
        <w:t>G</w:t>
      </w:r>
      <w:r w:rsidR="002D7DD6" w:rsidRPr="00856C7C">
        <w:rPr>
          <w:b/>
          <w:sz w:val="20"/>
          <w:szCs w:val="20"/>
        </w:rPr>
        <w:t>T</w:t>
      </w:r>
      <w:r w:rsidR="00B059FC" w:rsidRPr="00856C7C">
        <w:rPr>
          <w:b/>
          <w:sz w:val="20"/>
          <w:szCs w:val="20"/>
        </w:rPr>
        <w:t>I</w:t>
      </w:r>
      <w:r w:rsidR="002D7DD6" w:rsidRPr="00856C7C">
        <w:rPr>
          <w:b/>
          <w:sz w:val="20"/>
          <w:szCs w:val="20"/>
        </w:rPr>
        <w:t>PL</w:t>
      </w:r>
      <w:r w:rsidR="002D7DD6" w:rsidRPr="00856C7C">
        <w:rPr>
          <w:b/>
          <w:sz w:val="20"/>
          <w:szCs w:val="20"/>
        </w:rPr>
        <w:tab/>
      </w:r>
      <w:r w:rsidR="002D7DD6" w:rsidRPr="00856C7C">
        <w:rPr>
          <w:b/>
          <w:sz w:val="20"/>
          <w:szCs w:val="20"/>
        </w:rPr>
        <w:tab/>
      </w:r>
      <w:r w:rsidR="002D7DD6" w:rsidRPr="00856C7C">
        <w:rPr>
          <w:b/>
          <w:sz w:val="20"/>
          <w:szCs w:val="20"/>
        </w:rPr>
        <w:tab/>
      </w:r>
      <w:r w:rsidR="002D7DD6" w:rsidRPr="00856C7C">
        <w:rPr>
          <w:b/>
          <w:sz w:val="20"/>
          <w:szCs w:val="20"/>
        </w:rPr>
        <w:tab/>
        <w:t xml:space="preserve">  </w:t>
      </w:r>
      <w:r w:rsidR="00B059FC" w:rsidRPr="00856C7C">
        <w:rPr>
          <w:b/>
          <w:sz w:val="20"/>
          <w:szCs w:val="20"/>
        </w:rPr>
        <w:t xml:space="preserve">    </w:t>
      </w:r>
      <w:r w:rsidR="002D7DD6" w:rsidRPr="00856C7C">
        <w:rPr>
          <w:b/>
          <w:sz w:val="20"/>
          <w:szCs w:val="20"/>
        </w:rPr>
        <w:t xml:space="preserve"> </w:t>
      </w:r>
      <w:r w:rsidR="009D0776" w:rsidRPr="00856C7C">
        <w:rPr>
          <w:b/>
          <w:sz w:val="20"/>
          <w:szCs w:val="20"/>
        </w:rPr>
        <w:t xml:space="preserve">          </w:t>
      </w:r>
      <w:r w:rsidRPr="00856C7C">
        <w:rPr>
          <w:b/>
          <w:sz w:val="20"/>
          <w:szCs w:val="20"/>
        </w:rPr>
        <w:tab/>
      </w:r>
      <w:r w:rsidR="00856C7C">
        <w:rPr>
          <w:rFonts w:asciiTheme="minorBidi" w:hAnsiTheme="minorBidi" w:cstheme="minorBidi" w:hint="cs"/>
          <w:b/>
          <w:sz w:val="20"/>
          <w:szCs w:val="20"/>
          <w:cs/>
          <w:lang w:bidi="hi-IN"/>
        </w:rPr>
        <w:t xml:space="preserve">    </w:t>
      </w:r>
      <w:r w:rsidR="002D7DD6" w:rsidRPr="00856C7C">
        <w:rPr>
          <w:b/>
          <w:sz w:val="20"/>
          <w:szCs w:val="20"/>
        </w:rPr>
        <w:t xml:space="preserve">Mumbai, </w:t>
      </w:r>
      <w:r w:rsidR="009D0776" w:rsidRPr="00856C7C">
        <w:rPr>
          <w:b/>
          <w:sz w:val="20"/>
          <w:szCs w:val="20"/>
        </w:rPr>
        <w:t xml:space="preserve"> </w:t>
      </w:r>
      <w:r w:rsidR="008643A6" w:rsidRPr="00856C7C">
        <w:rPr>
          <w:b/>
          <w:sz w:val="20"/>
          <w:szCs w:val="20"/>
        </w:rPr>
        <w:t xml:space="preserve"> </w:t>
      </w:r>
      <w:r w:rsidR="00C55DB1">
        <w:rPr>
          <w:b/>
          <w:sz w:val="20"/>
          <w:szCs w:val="20"/>
        </w:rPr>
        <w:t>04</w:t>
      </w:r>
      <w:bookmarkStart w:id="0" w:name="_GoBack"/>
      <w:bookmarkEnd w:id="0"/>
      <w:r w:rsidR="00856C7C">
        <w:rPr>
          <w:rFonts w:cstheme="minorBidi" w:hint="cs"/>
          <w:b/>
          <w:sz w:val="20"/>
          <w:szCs w:val="18"/>
          <w:cs/>
          <w:lang w:bidi="hi-IN"/>
        </w:rPr>
        <w:t xml:space="preserve">  </w:t>
      </w:r>
      <w:r w:rsidR="008643A6" w:rsidRPr="00856C7C">
        <w:rPr>
          <w:b/>
          <w:sz w:val="20"/>
          <w:szCs w:val="20"/>
        </w:rPr>
        <w:t>Novem</w:t>
      </w:r>
      <w:r w:rsidRPr="00856C7C">
        <w:rPr>
          <w:b/>
          <w:sz w:val="20"/>
          <w:szCs w:val="20"/>
        </w:rPr>
        <w:t>ber</w:t>
      </w:r>
      <w:r w:rsidR="006D255C" w:rsidRPr="00856C7C">
        <w:rPr>
          <w:b/>
          <w:sz w:val="20"/>
          <w:szCs w:val="20"/>
        </w:rPr>
        <w:t>,</w:t>
      </w:r>
      <w:r w:rsidR="00B059FC" w:rsidRPr="00856C7C">
        <w:rPr>
          <w:b/>
          <w:sz w:val="20"/>
          <w:szCs w:val="20"/>
        </w:rPr>
        <w:t xml:space="preserve"> 2020</w:t>
      </w:r>
    </w:p>
    <w:p w:rsidR="00B059FC" w:rsidRPr="00856C7C" w:rsidRDefault="00B059FC" w:rsidP="00856C7C">
      <w:pPr>
        <w:pStyle w:val="Heading2"/>
        <w:keepLines w:val="0"/>
        <w:spacing w:before="0"/>
        <w:contextualSpacing/>
        <w:jc w:val="center"/>
        <w:rPr>
          <w:rFonts w:ascii="Arial" w:eastAsia="Times New Roman" w:hAnsi="Arial" w:cs="Arial"/>
          <w:b/>
          <w:color w:val="auto"/>
          <w:w w:val="200"/>
          <w:sz w:val="20"/>
          <w:szCs w:val="20"/>
          <w:lang w:bidi="hi-IN"/>
        </w:rPr>
      </w:pPr>
    </w:p>
    <w:p w:rsidR="002D7DD6" w:rsidRPr="00856C7C" w:rsidRDefault="002D7DD6" w:rsidP="00856C7C">
      <w:pPr>
        <w:pStyle w:val="Heading2"/>
        <w:keepLines w:val="0"/>
        <w:spacing w:before="0"/>
        <w:contextualSpacing/>
        <w:jc w:val="center"/>
        <w:rPr>
          <w:rFonts w:ascii="Arial" w:eastAsia="Times New Roman" w:hAnsi="Arial" w:cs="Arial"/>
          <w:b/>
          <w:color w:val="auto"/>
          <w:w w:val="200"/>
          <w:sz w:val="20"/>
          <w:szCs w:val="20"/>
          <w:lang w:bidi="hi-IN"/>
        </w:rPr>
      </w:pPr>
      <w:r w:rsidRPr="00856C7C">
        <w:rPr>
          <w:rFonts w:ascii="Arial" w:eastAsia="Times New Roman" w:hAnsi="Arial" w:cs="Arial"/>
          <w:b/>
          <w:color w:val="auto"/>
          <w:w w:val="200"/>
          <w:sz w:val="20"/>
          <w:szCs w:val="20"/>
          <w:lang w:bidi="hi-IN"/>
        </w:rPr>
        <w:t>NOTIFICATION</w:t>
      </w:r>
    </w:p>
    <w:p w:rsidR="002D7DD6" w:rsidRPr="00856C7C" w:rsidRDefault="002D7DD6" w:rsidP="00856C7C">
      <w:pPr>
        <w:contextualSpacing/>
        <w:jc w:val="both"/>
        <w:rPr>
          <w:sz w:val="20"/>
          <w:szCs w:val="20"/>
        </w:rPr>
      </w:pPr>
    </w:p>
    <w:p w:rsidR="002D7DD6" w:rsidRPr="00856C7C" w:rsidRDefault="006D255C" w:rsidP="00856C7C">
      <w:pPr>
        <w:contextualSpacing/>
        <w:jc w:val="both"/>
        <w:rPr>
          <w:sz w:val="20"/>
          <w:szCs w:val="20"/>
        </w:rPr>
      </w:pPr>
      <w:r w:rsidRPr="00856C7C">
        <w:rPr>
          <w:sz w:val="20"/>
          <w:szCs w:val="20"/>
        </w:rPr>
        <w:tab/>
      </w:r>
      <w:r w:rsidRPr="00856C7C">
        <w:rPr>
          <w:sz w:val="20"/>
          <w:szCs w:val="20"/>
        </w:rPr>
        <w:tab/>
      </w:r>
      <w:r w:rsidR="002D7DD6" w:rsidRPr="00856C7C">
        <w:rPr>
          <w:sz w:val="20"/>
          <w:szCs w:val="20"/>
        </w:rPr>
        <w:t>In exercise of the powers conferred under Section 48</w:t>
      </w:r>
      <w:r w:rsidR="00591B74" w:rsidRPr="00856C7C">
        <w:rPr>
          <w:sz w:val="20"/>
          <w:szCs w:val="20"/>
        </w:rPr>
        <w:t xml:space="preserve"> </w:t>
      </w:r>
      <w:r w:rsidR="002D7DD6" w:rsidRPr="00856C7C">
        <w:rPr>
          <w:sz w:val="20"/>
          <w:szCs w:val="20"/>
        </w:rPr>
        <w:t>of the Major Por</w:t>
      </w:r>
      <w:r w:rsidRPr="00856C7C">
        <w:rPr>
          <w:sz w:val="20"/>
          <w:szCs w:val="20"/>
        </w:rPr>
        <w:t xml:space="preserve">t Trusts Act, </w:t>
      </w:r>
      <w:r w:rsidR="002D7DD6" w:rsidRPr="00856C7C">
        <w:rPr>
          <w:sz w:val="20"/>
          <w:szCs w:val="20"/>
        </w:rPr>
        <w:t xml:space="preserve">1963 (38 of 1963), the Tariff Authority for Major Ports hereby disposes of the </w:t>
      </w:r>
      <w:r w:rsidR="00EA5148" w:rsidRPr="00856C7C">
        <w:rPr>
          <w:sz w:val="20"/>
          <w:szCs w:val="20"/>
        </w:rPr>
        <w:t>proposal received from Gateway Terminal India P</w:t>
      </w:r>
      <w:r w:rsidR="003D2C92" w:rsidRPr="00856C7C">
        <w:rPr>
          <w:sz w:val="20"/>
          <w:szCs w:val="20"/>
        </w:rPr>
        <w:t xml:space="preserve">rivate Limited (GTIPL) for review </w:t>
      </w:r>
      <w:r w:rsidR="00EA5148" w:rsidRPr="00856C7C">
        <w:rPr>
          <w:sz w:val="20"/>
          <w:szCs w:val="20"/>
        </w:rPr>
        <w:t>of its Scale of Rates approved vide Tariff Order No. TAMP/47/2019-GTIPL dated 20 February 2020 to the extent of</w:t>
      </w:r>
      <w:r w:rsidR="009E30E6" w:rsidRPr="00856C7C">
        <w:rPr>
          <w:sz w:val="20"/>
          <w:szCs w:val="20"/>
        </w:rPr>
        <w:t xml:space="preserve"> compensating</w:t>
      </w:r>
      <w:r w:rsidR="00EA5148" w:rsidRPr="00856C7C">
        <w:rPr>
          <w:sz w:val="20"/>
          <w:szCs w:val="20"/>
        </w:rPr>
        <w:t xml:space="preserve"> upward rev</w:t>
      </w:r>
      <w:r w:rsidR="009E30E6" w:rsidRPr="00856C7C">
        <w:rPr>
          <w:sz w:val="20"/>
          <w:szCs w:val="20"/>
        </w:rPr>
        <w:t xml:space="preserve">ision of Estate Lease Rentals of </w:t>
      </w:r>
      <w:r w:rsidR="00EA5148" w:rsidRPr="00856C7C">
        <w:rPr>
          <w:sz w:val="20"/>
          <w:szCs w:val="20"/>
        </w:rPr>
        <w:t>Jawaharlal Nehru Port Trust (JNPT),</w:t>
      </w:r>
      <w:r w:rsidRPr="00856C7C">
        <w:rPr>
          <w:sz w:val="20"/>
          <w:szCs w:val="20"/>
        </w:rPr>
        <w:t xml:space="preserve"> </w:t>
      </w:r>
      <w:r w:rsidR="002D7DD6" w:rsidRPr="00856C7C">
        <w:rPr>
          <w:sz w:val="20"/>
          <w:szCs w:val="20"/>
        </w:rPr>
        <w:t xml:space="preserve">as in the Order appended hereto. </w:t>
      </w:r>
    </w:p>
    <w:p w:rsidR="00873754" w:rsidRPr="00856C7C" w:rsidRDefault="00873754" w:rsidP="00856C7C">
      <w:pPr>
        <w:contextualSpacing/>
        <w:jc w:val="both"/>
        <w:rPr>
          <w:sz w:val="20"/>
          <w:szCs w:val="20"/>
        </w:rPr>
      </w:pPr>
    </w:p>
    <w:p w:rsidR="00856C7C" w:rsidRDefault="00856C7C" w:rsidP="00856C7C">
      <w:pPr>
        <w:contextualSpacing/>
        <w:jc w:val="right"/>
        <w:rPr>
          <w:b/>
          <w:w w:val="150"/>
          <w:sz w:val="20"/>
          <w:szCs w:val="20"/>
        </w:rPr>
      </w:pPr>
    </w:p>
    <w:p w:rsidR="00856C7C" w:rsidRDefault="00856C7C" w:rsidP="00856C7C">
      <w:pPr>
        <w:contextualSpacing/>
        <w:jc w:val="right"/>
        <w:rPr>
          <w:b/>
          <w:w w:val="150"/>
          <w:sz w:val="20"/>
          <w:szCs w:val="20"/>
        </w:rPr>
      </w:pPr>
    </w:p>
    <w:p w:rsidR="002D7DD6" w:rsidRPr="00856C7C" w:rsidRDefault="002D7DD6" w:rsidP="00856C7C">
      <w:pPr>
        <w:contextualSpacing/>
        <w:jc w:val="right"/>
        <w:rPr>
          <w:b/>
          <w:bCs w:val="0"/>
          <w:w w:val="150"/>
          <w:sz w:val="20"/>
          <w:szCs w:val="20"/>
        </w:rPr>
      </w:pPr>
      <w:r w:rsidRPr="00856C7C">
        <w:rPr>
          <w:b/>
          <w:w w:val="150"/>
          <w:sz w:val="20"/>
          <w:szCs w:val="20"/>
        </w:rPr>
        <w:t>(T.S. Balasubramanian)</w:t>
      </w:r>
    </w:p>
    <w:p w:rsidR="002D7DD6" w:rsidRPr="00856C7C" w:rsidRDefault="002D7DD6" w:rsidP="00856C7C">
      <w:pPr>
        <w:ind w:left="2880" w:firstLine="720"/>
        <w:contextualSpacing/>
        <w:jc w:val="center"/>
        <w:rPr>
          <w:sz w:val="20"/>
          <w:szCs w:val="20"/>
        </w:rPr>
      </w:pPr>
      <w:r w:rsidRPr="00856C7C">
        <w:rPr>
          <w:sz w:val="20"/>
          <w:szCs w:val="20"/>
        </w:rPr>
        <w:t xml:space="preserve">     </w:t>
      </w:r>
      <w:r w:rsidRPr="00856C7C">
        <w:rPr>
          <w:sz w:val="20"/>
          <w:szCs w:val="20"/>
        </w:rPr>
        <w:tab/>
      </w:r>
      <w:r w:rsidRPr="00856C7C">
        <w:rPr>
          <w:sz w:val="20"/>
          <w:szCs w:val="20"/>
        </w:rPr>
        <w:tab/>
      </w:r>
      <w:r w:rsidR="00EA5148" w:rsidRPr="00856C7C">
        <w:rPr>
          <w:sz w:val="20"/>
          <w:szCs w:val="20"/>
        </w:rPr>
        <w:tab/>
      </w:r>
      <w:r w:rsidR="00EA5148" w:rsidRPr="00856C7C">
        <w:rPr>
          <w:sz w:val="20"/>
          <w:szCs w:val="20"/>
        </w:rPr>
        <w:tab/>
      </w:r>
      <w:r w:rsidR="00EA5148" w:rsidRPr="00856C7C">
        <w:rPr>
          <w:sz w:val="20"/>
          <w:szCs w:val="20"/>
        </w:rPr>
        <w:tab/>
      </w:r>
      <w:r w:rsidRPr="00856C7C">
        <w:rPr>
          <w:sz w:val="20"/>
          <w:szCs w:val="20"/>
        </w:rPr>
        <w:t>Member (Finance)</w:t>
      </w:r>
    </w:p>
    <w:p w:rsidR="002D7DD6" w:rsidRPr="00856C7C" w:rsidRDefault="002D7DD6" w:rsidP="00856C7C">
      <w:pPr>
        <w:ind w:left="1440" w:hanging="1440"/>
        <w:contextualSpacing/>
        <w:jc w:val="both"/>
        <w:rPr>
          <w:sz w:val="20"/>
          <w:szCs w:val="20"/>
        </w:rPr>
      </w:pPr>
    </w:p>
    <w:p w:rsidR="00856C7C" w:rsidRDefault="00856C7C" w:rsidP="00856C7C">
      <w:pPr>
        <w:pStyle w:val="Heading1"/>
        <w:keepLines w:val="0"/>
        <w:tabs>
          <w:tab w:val="left" w:pos="8309"/>
        </w:tabs>
        <w:spacing w:before="0"/>
        <w:contextualSpacing/>
        <w:jc w:val="center"/>
        <w:rPr>
          <w:rFonts w:ascii="Arial" w:eastAsia="Times New Roman" w:hAnsi="Arial" w:cstheme="minorBidi"/>
          <w:b/>
          <w:bCs w:val="0"/>
          <w:iCs/>
          <w:color w:val="auto"/>
          <w:w w:val="150"/>
          <w:sz w:val="20"/>
          <w:szCs w:val="20"/>
          <w:u w:val="single"/>
          <w:lang w:bidi="hi-IN"/>
        </w:rPr>
      </w:pPr>
    </w:p>
    <w:p w:rsidR="002D7DD6" w:rsidRPr="00856C7C" w:rsidRDefault="002D7DD6" w:rsidP="00856C7C">
      <w:pPr>
        <w:pStyle w:val="Heading1"/>
        <w:keepLines w:val="0"/>
        <w:tabs>
          <w:tab w:val="left" w:pos="8309"/>
        </w:tabs>
        <w:spacing w:before="0"/>
        <w:contextualSpacing/>
        <w:jc w:val="center"/>
        <w:rPr>
          <w:rFonts w:ascii="Arial" w:eastAsia="Times New Roman" w:hAnsi="Arial" w:cs="Times New Roman"/>
          <w:b/>
          <w:bCs w:val="0"/>
          <w:iCs/>
          <w:color w:val="auto"/>
          <w:w w:val="150"/>
          <w:sz w:val="20"/>
          <w:szCs w:val="20"/>
          <w:u w:val="single"/>
          <w:lang w:bidi="hi-IN"/>
        </w:rPr>
      </w:pPr>
      <w:r w:rsidRPr="00856C7C">
        <w:rPr>
          <w:rFonts w:ascii="Arial" w:eastAsia="Times New Roman" w:hAnsi="Arial" w:cs="Times New Roman"/>
          <w:b/>
          <w:bCs w:val="0"/>
          <w:iCs/>
          <w:color w:val="auto"/>
          <w:w w:val="150"/>
          <w:sz w:val="20"/>
          <w:szCs w:val="20"/>
          <w:u w:val="single"/>
          <w:lang w:bidi="hi-IN"/>
        </w:rPr>
        <w:t>TARIFF AUTHORITY FOR MAJOR PORTS</w:t>
      </w:r>
    </w:p>
    <w:p w:rsidR="002D7DD6" w:rsidRPr="00856C7C" w:rsidRDefault="002D7DD6" w:rsidP="00856C7C">
      <w:pPr>
        <w:pStyle w:val="Subtitle"/>
        <w:contextualSpacing/>
        <w:rPr>
          <w:color w:val="auto"/>
          <w:sz w:val="20"/>
        </w:rPr>
      </w:pPr>
      <w:r w:rsidRPr="00856C7C">
        <w:rPr>
          <w:color w:val="auto"/>
          <w:sz w:val="20"/>
        </w:rPr>
        <w:t>Case No</w:t>
      </w:r>
      <w:r w:rsidRPr="00856C7C">
        <w:rPr>
          <w:bCs/>
          <w:color w:val="auto"/>
          <w:sz w:val="20"/>
        </w:rPr>
        <w:t>.</w:t>
      </w:r>
      <w:r w:rsidR="00EA5148" w:rsidRPr="00856C7C">
        <w:rPr>
          <w:color w:val="auto"/>
          <w:sz w:val="20"/>
        </w:rPr>
        <w:t xml:space="preserve"> TAMP/30/2020</w:t>
      </w:r>
      <w:r w:rsidRPr="00856C7C">
        <w:rPr>
          <w:color w:val="auto"/>
          <w:sz w:val="20"/>
        </w:rPr>
        <w:t>-</w:t>
      </w:r>
      <w:r w:rsidR="00EA5148" w:rsidRPr="00856C7C">
        <w:rPr>
          <w:color w:val="auto"/>
          <w:sz w:val="20"/>
        </w:rPr>
        <w:t xml:space="preserve"> </w:t>
      </w:r>
      <w:r w:rsidR="006D255C" w:rsidRPr="00856C7C">
        <w:rPr>
          <w:color w:val="auto"/>
          <w:sz w:val="20"/>
        </w:rPr>
        <w:t>GTI</w:t>
      </w:r>
      <w:r w:rsidRPr="00856C7C">
        <w:rPr>
          <w:color w:val="auto"/>
          <w:sz w:val="20"/>
        </w:rPr>
        <w:t>PL</w:t>
      </w:r>
    </w:p>
    <w:p w:rsidR="002D7DD6" w:rsidRPr="00856C7C" w:rsidRDefault="002D7DD6" w:rsidP="00856C7C">
      <w:pPr>
        <w:pStyle w:val="Subtitle"/>
        <w:contextualSpacing/>
        <w:jc w:val="left"/>
        <w:rPr>
          <w:color w:val="auto"/>
          <w:sz w:val="20"/>
          <w:u w:val="none"/>
        </w:rPr>
      </w:pPr>
    </w:p>
    <w:p w:rsidR="002D7DD6" w:rsidRPr="00856C7C" w:rsidRDefault="006D255C" w:rsidP="00856C7C">
      <w:pPr>
        <w:pStyle w:val="Subtitle"/>
        <w:contextualSpacing/>
        <w:jc w:val="both"/>
        <w:rPr>
          <w:color w:val="auto"/>
          <w:sz w:val="20"/>
          <w:u w:val="none"/>
        </w:rPr>
      </w:pPr>
      <w:r w:rsidRPr="00856C7C">
        <w:rPr>
          <w:rFonts w:eastAsiaTheme="minorHAnsi"/>
          <w:sz w:val="20"/>
          <w:u w:val="none"/>
        </w:rPr>
        <w:t xml:space="preserve">Gateway Terminal India </w:t>
      </w:r>
      <w:r w:rsidR="002D7DD6" w:rsidRPr="00856C7C">
        <w:rPr>
          <w:color w:val="auto"/>
          <w:sz w:val="20"/>
          <w:u w:val="none"/>
        </w:rPr>
        <w:t>Private Li</w:t>
      </w:r>
      <w:r w:rsidR="00EA5148" w:rsidRPr="00856C7C">
        <w:rPr>
          <w:color w:val="auto"/>
          <w:sz w:val="20"/>
          <w:u w:val="none"/>
        </w:rPr>
        <w:t xml:space="preserve">mited              </w:t>
      </w:r>
      <w:r w:rsidR="00856C7C">
        <w:rPr>
          <w:rFonts w:cstheme="minorBidi" w:hint="cs"/>
          <w:color w:val="auto"/>
          <w:sz w:val="20"/>
          <w:szCs w:val="18"/>
          <w:u w:val="none"/>
          <w:cs/>
          <w:lang w:bidi="hi-IN"/>
        </w:rPr>
        <w:t xml:space="preserve">    </w:t>
      </w:r>
      <w:r w:rsidR="00EA5148" w:rsidRPr="00856C7C">
        <w:rPr>
          <w:color w:val="auto"/>
          <w:sz w:val="20"/>
          <w:u w:val="none"/>
        </w:rPr>
        <w:t xml:space="preserve">- - - </w:t>
      </w:r>
      <w:r w:rsidRPr="00856C7C">
        <w:rPr>
          <w:color w:val="auto"/>
          <w:sz w:val="20"/>
          <w:u w:val="none"/>
        </w:rPr>
        <w:tab/>
      </w:r>
      <w:r w:rsidR="002D7DD6" w:rsidRPr="00856C7C">
        <w:rPr>
          <w:color w:val="auto"/>
          <w:sz w:val="20"/>
          <w:u w:val="none"/>
        </w:rPr>
        <w:tab/>
      </w:r>
      <w:r w:rsidR="00873754" w:rsidRPr="00856C7C">
        <w:rPr>
          <w:color w:val="auto"/>
          <w:sz w:val="20"/>
          <w:u w:val="none"/>
        </w:rPr>
        <w:tab/>
      </w:r>
      <w:r w:rsidR="00873754" w:rsidRPr="00856C7C">
        <w:rPr>
          <w:color w:val="auto"/>
          <w:sz w:val="20"/>
          <w:u w:val="none"/>
        </w:rPr>
        <w:tab/>
      </w:r>
      <w:r w:rsidR="00856C7C">
        <w:rPr>
          <w:rFonts w:cstheme="minorBidi" w:hint="cs"/>
          <w:color w:val="auto"/>
          <w:sz w:val="20"/>
          <w:szCs w:val="18"/>
          <w:u w:val="none"/>
          <w:cs/>
          <w:lang w:bidi="hi-IN"/>
        </w:rPr>
        <w:t xml:space="preserve">          </w:t>
      </w:r>
      <w:r w:rsidR="002D7DD6" w:rsidRPr="00856C7C">
        <w:rPr>
          <w:color w:val="auto"/>
          <w:sz w:val="20"/>
          <w:u w:val="none"/>
        </w:rPr>
        <w:t>Applicant</w:t>
      </w:r>
    </w:p>
    <w:p w:rsidR="002D7DD6" w:rsidRPr="00856C7C" w:rsidRDefault="002D7DD6" w:rsidP="00856C7C">
      <w:pPr>
        <w:pStyle w:val="Heading3"/>
        <w:spacing w:before="0"/>
        <w:contextualSpacing/>
        <w:jc w:val="center"/>
        <w:rPr>
          <w:w w:val="200"/>
          <w:sz w:val="20"/>
          <w:szCs w:val="20"/>
        </w:rPr>
      </w:pPr>
    </w:p>
    <w:p w:rsidR="002D7DD6" w:rsidRPr="00856C7C" w:rsidRDefault="002D7DD6" w:rsidP="00856C7C">
      <w:pPr>
        <w:contextualSpacing/>
        <w:jc w:val="center"/>
        <w:rPr>
          <w:b/>
          <w:sz w:val="20"/>
          <w:szCs w:val="20"/>
          <w:u w:val="single"/>
        </w:rPr>
      </w:pPr>
      <w:r w:rsidRPr="00856C7C">
        <w:rPr>
          <w:b/>
          <w:sz w:val="20"/>
          <w:szCs w:val="20"/>
          <w:u w:val="single"/>
        </w:rPr>
        <w:t>QUORUM</w:t>
      </w:r>
    </w:p>
    <w:p w:rsidR="002D7DD6" w:rsidRPr="00856C7C" w:rsidRDefault="002D7DD6" w:rsidP="00856C7C">
      <w:pPr>
        <w:contextualSpacing/>
        <w:rPr>
          <w:bCs w:val="0"/>
          <w:sz w:val="20"/>
          <w:szCs w:val="20"/>
        </w:rPr>
      </w:pPr>
    </w:p>
    <w:p w:rsidR="002D7DD6" w:rsidRPr="00856C7C" w:rsidRDefault="002D7DD6" w:rsidP="00856C7C">
      <w:pPr>
        <w:contextualSpacing/>
        <w:rPr>
          <w:bCs w:val="0"/>
          <w:sz w:val="20"/>
          <w:szCs w:val="20"/>
        </w:rPr>
      </w:pPr>
      <w:r w:rsidRPr="00856C7C">
        <w:rPr>
          <w:sz w:val="20"/>
          <w:szCs w:val="20"/>
        </w:rPr>
        <w:t>(i).</w:t>
      </w:r>
      <w:r w:rsidRPr="00856C7C">
        <w:rPr>
          <w:sz w:val="20"/>
          <w:szCs w:val="20"/>
        </w:rPr>
        <w:tab/>
        <w:t>Shri. T.S. Balasubramanian, Member (Finance)</w:t>
      </w:r>
    </w:p>
    <w:p w:rsidR="002D7DD6" w:rsidRPr="00856C7C" w:rsidRDefault="002D7DD6" w:rsidP="00856C7C">
      <w:pPr>
        <w:contextualSpacing/>
        <w:rPr>
          <w:bCs w:val="0"/>
          <w:sz w:val="20"/>
          <w:szCs w:val="20"/>
        </w:rPr>
      </w:pPr>
      <w:r w:rsidRPr="00856C7C">
        <w:rPr>
          <w:sz w:val="20"/>
          <w:szCs w:val="20"/>
        </w:rPr>
        <w:t>(ii).</w:t>
      </w:r>
      <w:r w:rsidRPr="00856C7C">
        <w:rPr>
          <w:sz w:val="20"/>
          <w:szCs w:val="20"/>
        </w:rPr>
        <w:tab/>
        <w:t>Shri. Rajat Sachar, Member (Economic)</w:t>
      </w:r>
    </w:p>
    <w:p w:rsidR="002D7DD6" w:rsidRPr="00856C7C" w:rsidRDefault="002D7DD6" w:rsidP="00856C7C">
      <w:pPr>
        <w:contextualSpacing/>
        <w:rPr>
          <w:sz w:val="20"/>
          <w:szCs w:val="20"/>
        </w:rPr>
      </w:pPr>
    </w:p>
    <w:p w:rsidR="00856C7C" w:rsidRDefault="00856C7C" w:rsidP="00856C7C">
      <w:pPr>
        <w:pStyle w:val="Heading3"/>
        <w:keepLines w:val="0"/>
        <w:spacing w:before="0"/>
        <w:contextualSpacing/>
        <w:jc w:val="center"/>
        <w:rPr>
          <w:rFonts w:ascii="Arial" w:eastAsia="Times New Roman" w:hAnsi="Arial" w:cs="Arial"/>
          <w:b/>
          <w:color w:val="auto"/>
          <w:w w:val="200"/>
          <w:sz w:val="20"/>
          <w:szCs w:val="20"/>
          <w:u w:val="single"/>
        </w:rPr>
      </w:pPr>
    </w:p>
    <w:p w:rsidR="002D7DD6" w:rsidRPr="00856C7C" w:rsidRDefault="002D7DD6" w:rsidP="00856C7C">
      <w:pPr>
        <w:pStyle w:val="Heading3"/>
        <w:keepLines w:val="0"/>
        <w:spacing w:before="0"/>
        <w:contextualSpacing/>
        <w:jc w:val="center"/>
        <w:rPr>
          <w:rFonts w:ascii="Arial" w:eastAsia="Times New Roman" w:hAnsi="Arial" w:cs="Arial"/>
          <w:b/>
          <w:color w:val="auto"/>
          <w:w w:val="200"/>
          <w:sz w:val="20"/>
          <w:szCs w:val="20"/>
          <w:u w:val="single"/>
        </w:rPr>
      </w:pPr>
      <w:r w:rsidRPr="00856C7C">
        <w:rPr>
          <w:rFonts w:ascii="Arial" w:eastAsia="Times New Roman" w:hAnsi="Arial" w:cs="Arial"/>
          <w:b/>
          <w:color w:val="auto"/>
          <w:w w:val="200"/>
          <w:sz w:val="20"/>
          <w:szCs w:val="20"/>
          <w:u w:val="single"/>
        </w:rPr>
        <w:t>O R D E R</w:t>
      </w:r>
    </w:p>
    <w:p w:rsidR="002D7DD6" w:rsidRPr="00856C7C" w:rsidRDefault="002D7DD6" w:rsidP="00856C7C">
      <w:pPr>
        <w:pStyle w:val="BodyText"/>
        <w:contextualSpacing/>
        <w:jc w:val="center"/>
        <w:rPr>
          <w:bCs w:val="0"/>
          <w:sz w:val="20"/>
          <w:szCs w:val="20"/>
        </w:rPr>
      </w:pPr>
      <w:r w:rsidRPr="00856C7C">
        <w:rPr>
          <w:sz w:val="20"/>
          <w:szCs w:val="20"/>
        </w:rPr>
        <w:t>(</w:t>
      </w:r>
      <w:r w:rsidR="009A2480" w:rsidRPr="00856C7C">
        <w:rPr>
          <w:rFonts w:ascii="Arial" w:hAnsi="Arial"/>
          <w:sz w:val="20"/>
          <w:szCs w:val="20"/>
        </w:rPr>
        <w:t>Passed on this</w:t>
      </w:r>
      <w:r w:rsidR="009E30E6" w:rsidRPr="00856C7C">
        <w:rPr>
          <w:rFonts w:ascii="Arial" w:hAnsi="Arial"/>
          <w:sz w:val="20"/>
          <w:szCs w:val="20"/>
        </w:rPr>
        <w:t xml:space="preserve"> 28</w:t>
      </w:r>
      <w:r w:rsidR="00CB0D13" w:rsidRPr="00856C7C">
        <w:rPr>
          <w:rFonts w:ascii="Arial" w:hAnsi="Arial"/>
          <w:sz w:val="20"/>
          <w:szCs w:val="20"/>
          <w:vertAlign w:val="superscript"/>
        </w:rPr>
        <w:t>th</w:t>
      </w:r>
      <w:r w:rsidR="00CB0D13" w:rsidRPr="00856C7C">
        <w:rPr>
          <w:rFonts w:ascii="Arial" w:hAnsi="Arial"/>
          <w:sz w:val="20"/>
          <w:szCs w:val="20"/>
        </w:rPr>
        <w:t xml:space="preserve"> </w:t>
      </w:r>
      <w:r w:rsidRPr="00856C7C">
        <w:rPr>
          <w:rFonts w:ascii="Arial" w:hAnsi="Arial"/>
          <w:sz w:val="20"/>
          <w:szCs w:val="20"/>
        </w:rPr>
        <w:t xml:space="preserve">day of </w:t>
      </w:r>
      <w:r w:rsidR="00EA5148" w:rsidRPr="00856C7C">
        <w:rPr>
          <w:rFonts w:ascii="Arial" w:hAnsi="Arial"/>
          <w:sz w:val="20"/>
          <w:szCs w:val="20"/>
        </w:rPr>
        <w:t>October</w:t>
      </w:r>
      <w:r w:rsidR="006D255C" w:rsidRPr="00856C7C">
        <w:rPr>
          <w:rFonts w:ascii="Arial" w:hAnsi="Arial"/>
          <w:sz w:val="20"/>
          <w:szCs w:val="20"/>
        </w:rPr>
        <w:t>, 2020</w:t>
      </w:r>
      <w:r w:rsidRPr="00856C7C">
        <w:rPr>
          <w:sz w:val="20"/>
          <w:szCs w:val="20"/>
        </w:rPr>
        <w:t>)</w:t>
      </w:r>
    </w:p>
    <w:p w:rsidR="00BA3F2B" w:rsidRPr="00856C7C" w:rsidRDefault="00BA3F2B" w:rsidP="00856C7C">
      <w:pPr>
        <w:pStyle w:val="BodyTextIndent"/>
        <w:spacing w:after="0"/>
        <w:ind w:left="0"/>
        <w:contextualSpacing/>
        <w:rPr>
          <w:bCs w:val="0"/>
          <w:sz w:val="20"/>
          <w:szCs w:val="20"/>
        </w:rPr>
      </w:pPr>
    </w:p>
    <w:p w:rsidR="00856C7C" w:rsidRDefault="00856C7C" w:rsidP="00856C7C">
      <w:pPr>
        <w:ind w:firstLine="1440"/>
        <w:contextualSpacing/>
        <w:jc w:val="both"/>
        <w:rPr>
          <w:sz w:val="20"/>
          <w:szCs w:val="20"/>
        </w:rPr>
      </w:pPr>
    </w:p>
    <w:p w:rsidR="00EA5148" w:rsidRPr="00856C7C" w:rsidRDefault="00EA5148" w:rsidP="00856C7C">
      <w:pPr>
        <w:ind w:firstLine="1440"/>
        <w:contextualSpacing/>
        <w:jc w:val="both"/>
        <w:rPr>
          <w:sz w:val="20"/>
          <w:szCs w:val="20"/>
        </w:rPr>
      </w:pPr>
      <w:r w:rsidRPr="00856C7C">
        <w:rPr>
          <w:sz w:val="20"/>
          <w:szCs w:val="20"/>
        </w:rPr>
        <w:t>This case relates to the proposal received from Gateway Terminal India Private Limited (GTIPL) vide its letter No</w:t>
      </w:r>
      <w:r w:rsidRPr="00856C7C">
        <w:rPr>
          <w:rFonts w:ascii="Maersk Headline" w:hAnsi="Maersk Headline" w:cs="Calibri"/>
          <w:sz w:val="20"/>
          <w:szCs w:val="20"/>
        </w:rPr>
        <w:t xml:space="preserve"> </w:t>
      </w:r>
      <w:r w:rsidRPr="00856C7C">
        <w:rPr>
          <w:sz w:val="20"/>
          <w:szCs w:val="20"/>
        </w:rPr>
        <w:t>GTIPL/TAMP/Tariff Proposal-2020/01 dated 17 July 2020 for revi</w:t>
      </w:r>
      <w:r w:rsidR="003D2C92" w:rsidRPr="00856C7C">
        <w:rPr>
          <w:sz w:val="20"/>
          <w:szCs w:val="20"/>
        </w:rPr>
        <w:t xml:space="preserve">ew </w:t>
      </w:r>
      <w:r w:rsidRPr="00856C7C">
        <w:rPr>
          <w:sz w:val="20"/>
          <w:szCs w:val="20"/>
        </w:rPr>
        <w:t>of its Scale of Rates approved vide Tariff Order No. TAMP/47/2019-GTIPL dated 20 February 2020</w:t>
      </w:r>
      <w:r w:rsidR="00C063FB" w:rsidRPr="00856C7C">
        <w:rPr>
          <w:sz w:val="20"/>
          <w:szCs w:val="20"/>
        </w:rPr>
        <w:t>,</w:t>
      </w:r>
      <w:r w:rsidRPr="00856C7C">
        <w:rPr>
          <w:sz w:val="20"/>
          <w:szCs w:val="20"/>
        </w:rPr>
        <w:t xml:space="preserve"> to the extent of offsetting the upward revision of Estate Lease Rentals by Jawaharlal Nehru Port Trust (JNPT). </w:t>
      </w:r>
    </w:p>
    <w:p w:rsidR="00EA5148" w:rsidRPr="00856C7C" w:rsidRDefault="00EA5148" w:rsidP="00856C7C">
      <w:pPr>
        <w:contextualSpacing/>
        <w:jc w:val="both"/>
        <w:rPr>
          <w:sz w:val="20"/>
          <w:szCs w:val="20"/>
        </w:rPr>
      </w:pPr>
    </w:p>
    <w:p w:rsidR="00EA5148" w:rsidRPr="00856C7C" w:rsidRDefault="00EA5148" w:rsidP="00856C7C">
      <w:pPr>
        <w:tabs>
          <w:tab w:val="left" w:pos="1440"/>
        </w:tabs>
        <w:contextualSpacing/>
        <w:jc w:val="both"/>
        <w:rPr>
          <w:sz w:val="20"/>
          <w:szCs w:val="20"/>
        </w:rPr>
      </w:pPr>
      <w:r w:rsidRPr="00856C7C">
        <w:rPr>
          <w:sz w:val="20"/>
          <w:szCs w:val="20"/>
        </w:rPr>
        <w:t>2.1</w:t>
      </w:r>
      <w:r w:rsidRPr="00856C7C">
        <w:rPr>
          <w:sz w:val="20"/>
          <w:szCs w:val="20"/>
        </w:rPr>
        <w:tab/>
        <w:t>Th</w:t>
      </w:r>
      <w:r w:rsidR="003D2C92" w:rsidRPr="00856C7C">
        <w:rPr>
          <w:sz w:val="20"/>
          <w:szCs w:val="20"/>
        </w:rPr>
        <w:t>is</w:t>
      </w:r>
      <w:r w:rsidRPr="00856C7C">
        <w:rPr>
          <w:sz w:val="20"/>
          <w:szCs w:val="20"/>
        </w:rPr>
        <w:t xml:space="preserve"> Authority </w:t>
      </w:r>
      <w:r w:rsidRPr="00856C7C">
        <w:rPr>
          <w:color w:val="000000"/>
          <w:sz w:val="20"/>
          <w:szCs w:val="20"/>
        </w:rPr>
        <w:t>has</w:t>
      </w:r>
      <w:r w:rsidRPr="00856C7C">
        <w:rPr>
          <w:sz w:val="20"/>
          <w:szCs w:val="20"/>
        </w:rPr>
        <w:t xml:space="preserve"> passed an Order No. TAMP/47/2019- GTIPL dated 20 February 2020 in the case relating to the proposal received from Gateway Terminal India Private Limited (GTIPL) for General revision of its Scale of Rates (SOR) under Tariff Guidelines, 2019. The said Order of GTIPL was notified in the Gazette of India on 3 March 2020 vide Gazette No. 98. The revised Scale of Rates and conditionalities of the GTIPL has come into effect after expiry of 30 days from the date of notification of the Order in the Gazette of India i.e. from 02 April 2020 and will be in force till 01 April 2023. </w:t>
      </w:r>
    </w:p>
    <w:p w:rsidR="00EA5148" w:rsidRPr="00856C7C" w:rsidRDefault="00EA5148" w:rsidP="00856C7C">
      <w:pPr>
        <w:tabs>
          <w:tab w:val="left" w:pos="1440"/>
        </w:tabs>
        <w:contextualSpacing/>
        <w:jc w:val="both"/>
        <w:rPr>
          <w:sz w:val="20"/>
          <w:szCs w:val="20"/>
        </w:rPr>
      </w:pPr>
    </w:p>
    <w:p w:rsidR="00EA5148" w:rsidRPr="00856C7C" w:rsidRDefault="00EA5148" w:rsidP="00856C7C">
      <w:pPr>
        <w:tabs>
          <w:tab w:val="left" w:pos="1440"/>
        </w:tabs>
        <w:contextualSpacing/>
        <w:jc w:val="both"/>
        <w:rPr>
          <w:sz w:val="20"/>
          <w:szCs w:val="20"/>
        </w:rPr>
      </w:pPr>
      <w:r w:rsidRPr="00856C7C">
        <w:rPr>
          <w:sz w:val="20"/>
          <w:szCs w:val="20"/>
        </w:rPr>
        <w:t>2.2.</w:t>
      </w:r>
      <w:r w:rsidRPr="00856C7C">
        <w:rPr>
          <w:sz w:val="20"/>
          <w:szCs w:val="20"/>
        </w:rPr>
        <w:tab/>
        <w:t xml:space="preserve">The overall revenue impact of the revised SOR was estimated to be a reduction of 6.55% from the tariff being levied by the GTIPL then (as per </w:t>
      </w:r>
      <w:r w:rsidRPr="00856C7C">
        <w:rPr>
          <w:color w:val="000000"/>
          <w:sz w:val="20"/>
          <w:szCs w:val="20"/>
        </w:rPr>
        <w:t xml:space="preserve">tariff Order dated </w:t>
      </w:r>
      <w:r w:rsidRPr="00856C7C">
        <w:rPr>
          <w:rFonts w:eastAsia="Calibri"/>
          <w:sz w:val="20"/>
          <w:szCs w:val="20"/>
        </w:rPr>
        <w:t>3 March 2010)</w:t>
      </w:r>
      <w:r w:rsidRPr="00856C7C">
        <w:rPr>
          <w:sz w:val="20"/>
          <w:szCs w:val="20"/>
        </w:rPr>
        <w:t xml:space="preserve">, based on the interim Order of the Hon’ble High Court of Bombay.  </w:t>
      </w:r>
    </w:p>
    <w:p w:rsidR="00EA5148" w:rsidRPr="00856C7C" w:rsidRDefault="00EA5148" w:rsidP="00856C7C">
      <w:pPr>
        <w:autoSpaceDE w:val="0"/>
        <w:autoSpaceDN w:val="0"/>
        <w:adjustRightInd w:val="0"/>
        <w:contextualSpacing/>
        <w:jc w:val="both"/>
        <w:rPr>
          <w:sz w:val="20"/>
          <w:szCs w:val="20"/>
        </w:rPr>
      </w:pPr>
    </w:p>
    <w:p w:rsidR="00EA5148" w:rsidRPr="00856C7C" w:rsidRDefault="00EA5148" w:rsidP="00856C7C">
      <w:pPr>
        <w:autoSpaceDE w:val="0"/>
        <w:autoSpaceDN w:val="0"/>
        <w:adjustRightInd w:val="0"/>
        <w:contextualSpacing/>
        <w:jc w:val="both"/>
        <w:rPr>
          <w:sz w:val="20"/>
          <w:szCs w:val="20"/>
        </w:rPr>
      </w:pPr>
      <w:r w:rsidRPr="00856C7C">
        <w:rPr>
          <w:sz w:val="20"/>
          <w:szCs w:val="20"/>
        </w:rPr>
        <w:t>3.1.</w:t>
      </w:r>
      <w:r w:rsidRPr="00856C7C">
        <w:rPr>
          <w:sz w:val="20"/>
          <w:szCs w:val="20"/>
        </w:rPr>
        <w:tab/>
      </w:r>
      <w:r w:rsidRPr="00856C7C">
        <w:rPr>
          <w:sz w:val="20"/>
          <w:szCs w:val="20"/>
        </w:rPr>
        <w:tab/>
        <w:t xml:space="preserve">In this backdrop, the GTIPL has filed its proposal vide its letter dated 17 July 2020 for revision of its Scale of Rates approved vide Tariff Order No. TAMP/47/2019-GTIPL dated 20 February 2020, on account of the upward revision of Estate Lease Rentals by the Licensor port Jawaharlal Nehru Port Trust (JNPT).  The submissions made by GTIPL are as follows: </w:t>
      </w:r>
    </w:p>
    <w:p w:rsidR="00EA5148" w:rsidRPr="00856C7C" w:rsidRDefault="00EA5148" w:rsidP="00856C7C">
      <w:pPr>
        <w:autoSpaceDE w:val="0"/>
        <w:autoSpaceDN w:val="0"/>
        <w:adjustRightInd w:val="0"/>
        <w:contextualSpacing/>
        <w:jc w:val="both"/>
        <w:rPr>
          <w:sz w:val="20"/>
          <w:szCs w:val="20"/>
        </w:rPr>
      </w:pPr>
    </w:p>
    <w:p w:rsidR="00EA5148" w:rsidRPr="00856C7C" w:rsidRDefault="00EA5148" w:rsidP="00856C7C">
      <w:pPr>
        <w:autoSpaceDE w:val="0"/>
        <w:autoSpaceDN w:val="0"/>
        <w:adjustRightInd w:val="0"/>
        <w:ind w:left="1440" w:hanging="720"/>
        <w:contextualSpacing/>
        <w:jc w:val="both"/>
        <w:rPr>
          <w:sz w:val="20"/>
          <w:szCs w:val="20"/>
        </w:rPr>
      </w:pPr>
      <w:r w:rsidRPr="00856C7C">
        <w:rPr>
          <w:sz w:val="20"/>
          <w:szCs w:val="20"/>
        </w:rPr>
        <w:t>(i).</w:t>
      </w:r>
      <w:r w:rsidRPr="00856C7C">
        <w:rPr>
          <w:sz w:val="20"/>
          <w:szCs w:val="20"/>
        </w:rPr>
        <w:tab/>
        <w:t xml:space="preserve">As per JNPT circular no. JNP/FIN/2020/538 dated 12 July 2020, the Estate related Scale of Rates has been revised by JNPT with effect from 18 July 2020. The rates have been increased significantly and will result in significant amount of additional lease rental cost of </w:t>
      </w:r>
      <w:r w:rsidRPr="00856C7C">
        <w:rPr>
          <w:rFonts w:ascii="Rupee Foradian" w:hAnsi="Rupee Foradian"/>
          <w:sz w:val="20"/>
          <w:szCs w:val="20"/>
        </w:rPr>
        <w:t>`</w:t>
      </w:r>
      <w:r w:rsidRPr="00856C7C">
        <w:rPr>
          <w:sz w:val="20"/>
          <w:szCs w:val="20"/>
        </w:rPr>
        <w:t xml:space="preserve"> 11 crores to GTIPL as given below.</w:t>
      </w:r>
    </w:p>
    <w:p w:rsidR="00EA5148" w:rsidRPr="00856C7C" w:rsidRDefault="00EA5148" w:rsidP="00856C7C">
      <w:pPr>
        <w:autoSpaceDE w:val="0"/>
        <w:autoSpaceDN w:val="0"/>
        <w:adjustRightInd w:val="0"/>
        <w:contextualSpacing/>
        <w:jc w:val="both"/>
        <w:rPr>
          <w:sz w:val="20"/>
          <w:szCs w:val="20"/>
        </w:rPr>
      </w:pPr>
    </w:p>
    <w:p w:rsidR="00EA5148" w:rsidRPr="00856C7C" w:rsidRDefault="00EA5148" w:rsidP="00856C7C">
      <w:pPr>
        <w:ind w:left="605"/>
        <w:contextualSpacing/>
        <w:jc w:val="both"/>
        <w:rPr>
          <w:rFonts w:ascii="Maersk Headline" w:hAnsi="Maersk Headline" w:cs="Calibri"/>
          <w:sz w:val="20"/>
          <w:szCs w:val="20"/>
        </w:rPr>
      </w:pPr>
      <w:r w:rsidRPr="00856C7C">
        <w:rPr>
          <w:noProof/>
          <w:sz w:val="20"/>
          <w:szCs w:val="20"/>
          <w:lang w:bidi="hi-IN"/>
        </w:rPr>
        <w:lastRenderedPageBreak/>
        <w:drawing>
          <wp:inline distT="0" distB="0" distL="0" distR="0" wp14:anchorId="58750BA6" wp14:editId="1D4CC429">
            <wp:extent cx="5302250" cy="2051685"/>
            <wp:effectExtent l="19050" t="19050" r="12700"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250" cy="2051685"/>
                    </a:xfrm>
                    <a:prstGeom prst="rect">
                      <a:avLst/>
                    </a:prstGeom>
                    <a:noFill/>
                    <a:ln w="6350" cmpd="sng">
                      <a:solidFill>
                        <a:srgbClr val="000000"/>
                      </a:solidFill>
                      <a:miter lim="800000"/>
                      <a:headEnd/>
                      <a:tailEnd/>
                    </a:ln>
                    <a:effectLst/>
                  </pic:spPr>
                </pic:pic>
              </a:graphicData>
            </a:graphic>
          </wp:inline>
        </w:drawing>
      </w:r>
    </w:p>
    <w:p w:rsidR="00EA5148" w:rsidRPr="002A3EE5" w:rsidRDefault="00EA5148" w:rsidP="00856C7C">
      <w:pPr>
        <w:pStyle w:val="ListParagraph"/>
        <w:spacing w:after="200"/>
        <w:ind w:left="0" w:firstLine="720"/>
        <w:jc w:val="both"/>
        <w:rPr>
          <w:sz w:val="2"/>
          <w:szCs w:val="2"/>
          <w:lang w:eastAsia="en-IN"/>
        </w:rPr>
      </w:pPr>
    </w:p>
    <w:p w:rsidR="00EA5148" w:rsidRPr="00856C7C" w:rsidRDefault="00EA5148" w:rsidP="00856C7C">
      <w:pPr>
        <w:autoSpaceDE w:val="0"/>
        <w:autoSpaceDN w:val="0"/>
        <w:adjustRightInd w:val="0"/>
        <w:ind w:left="1440" w:hanging="720"/>
        <w:contextualSpacing/>
        <w:jc w:val="both"/>
        <w:rPr>
          <w:sz w:val="20"/>
          <w:szCs w:val="20"/>
        </w:rPr>
      </w:pPr>
      <w:r w:rsidRPr="00856C7C">
        <w:rPr>
          <w:sz w:val="20"/>
          <w:szCs w:val="20"/>
        </w:rPr>
        <w:t>(ii).</w:t>
      </w:r>
      <w:r w:rsidRPr="00856C7C">
        <w:rPr>
          <w:sz w:val="20"/>
          <w:szCs w:val="20"/>
        </w:rPr>
        <w:tab/>
        <w:t xml:space="preserve">TAMP revised Scale of Rates of GTIPL with effect from 02 April 2020 vide </w:t>
      </w:r>
      <w:r w:rsidR="003D2C92" w:rsidRPr="00856C7C">
        <w:rPr>
          <w:sz w:val="20"/>
          <w:szCs w:val="20"/>
        </w:rPr>
        <w:t>O</w:t>
      </w:r>
      <w:r w:rsidRPr="00856C7C">
        <w:rPr>
          <w:sz w:val="20"/>
          <w:szCs w:val="20"/>
        </w:rPr>
        <w:t xml:space="preserve">rder no. TAMP/47/2019-GTIPL dated 20 February 2020. The rates were based on Annual Revenue requirement of </w:t>
      </w:r>
      <w:r w:rsidRPr="00856C7C">
        <w:rPr>
          <w:rFonts w:ascii="Rupee Foradian" w:hAnsi="Rupee Foradian"/>
          <w:sz w:val="20"/>
          <w:szCs w:val="20"/>
        </w:rPr>
        <w:t>`</w:t>
      </w:r>
      <w:r w:rsidRPr="00856C7C">
        <w:rPr>
          <w:sz w:val="20"/>
          <w:szCs w:val="20"/>
        </w:rPr>
        <w:t xml:space="preserve"> 65,668 Lakhs for an average annual traffic of 1337416 containers. While calculating the annual revenue requirement mentioned above, the lease rental cost as per the rates prevailing then was considered. However, there is a substantial increase in the lease rental as explained above. </w:t>
      </w:r>
    </w:p>
    <w:p w:rsidR="00EA5148" w:rsidRPr="00856C7C" w:rsidRDefault="00EA5148" w:rsidP="00856C7C">
      <w:pPr>
        <w:autoSpaceDE w:val="0"/>
        <w:autoSpaceDN w:val="0"/>
        <w:adjustRightInd w:val="0"/>
        <w:ind w:left="1440" w:hanging="720"/>
        <w:contextualSpacing/>
        <w:jc w:val="both"/>
        <w:rPr>
          <w:sz w:val="20"/>
          <w:szCs w:val="20"/>
        </w:rPr>
      </w:pPr>
    </w:p>
    <w:p w:rsidR="00EA5148" w:rsidRPr="00856C7C" w:rsidRDefault="00EA5148" w:rsidP="00856C7C">
      <w:pPr>
        <w:autoSpaceDE w:val="0"/>
        <w:autoSpaceDN w:val="0"/>
        <w:adjustRightInd w:val="0"/>
        <w:ind w:left="1440" w:hanging="720"/>
        <w:contextualSpacing/>
        <w:jc w:val="both"/>
        <w:rPr>
          <w:sz w:val="20"/>
          <w:szCs w:val="20"/>
        </w:rPr>
      </w:pPr>
      <w:r w:rsidRPr="00856C7C">
        <w:rPr>
          <w:sz w:val="20"/>
          <w:szCs w:val="20"/>
        </w:rPr>
        <w:t>(iii).</w:t>
      </w:r>
      <w:r w:rsidRPr="00856C7C">
        <w:rPr>
          <w:sz w:val="20"/>
          <w:szCs w:val="20"/>
        </w:rPr>
        <w:tab/>
        <w:t xml:space="preserve">The existing tariff is valid for three years from 2020-21 to 2022-23. The annual impact of increase in lease rental cost for these three years is </w:t>
      </w:r>
      <w:r w:rsidRPr="00856C7C">
        <w:rPr>
          <w:rFonts w:ascii="Rupee Foradian" w:hAnsi="Rupee Foradian"/>
          <w:sz w:val="20"/>
          <w:szCs w:val="20"/>
        </w:rPr>
        <w:t>`</w:t>
      </w:r>
      <w:r w:rsidRPr="00856C7C">
        <w:rPr>
          <w:sz w:val="20"/>
          <w:szCs w:val="20"/>
        </w:rPr>
        <w:t xml:space="preserve"> 11 crores. This unforeseen increase in lease rental cost need to be compensated by tariff increase in accordance with Clause 6 of Tariff Guidelines 2019.</w:t>
      </w:r>
    </w:p>
    <w:p w:rsidR="00EA5148" w:rsidRPr="00856C7C" w:rsidRDefault="00EA5148" w:rsidP="00856C7C">
      <w:pPr>
        <w:autoSpaceDE w:val="0"/>
        <w:autoSpaceDN w:val="0"/>
        <w:adjustRightInd w:val="0"/>
        <w:contextualSpacing/>
        <w:jc w:val="both"/>
        <w:rPr>
          <w:sz w:val="20"/>
          <w:szCs w:val="20"/>
        </w:rPr>
      </w:pPr>
    </w:p>
    <w:p w:rsidR="00EA5148" w:rsidRPr="00856C7C" w:rsidRDefault="00EA5148" w:rsidP="00856C7C">
      <w:pPr>
        <w:autoSpaceDE w:val="0"/>
        <w:autoSpaceDN w:val="0"/>
        <w:adjustRightInd w:val="0"/>
        <w:ind w:left="1440" w:hanging="720"/>
        <w:contextualSpacing/>
        <w:jc w:val="both"/>
        <w:rPr>
          <w:sz w:val="20"/>
          <w:szCs w:val="20"/>
        </w:rPr>
      </w:pPr>
      <w:r w:rsidRPr="00856C7C">
        <w:rPr>
          <w:sz w:val="20"/>
          <w:szCs w:val="20"/>
        </w:rPr>
        <w:t>(iv).</w:t>
      </w:r>
      <w:r w:rsidRPr="00856C7C">
        <w:rPr>
          <w:sz w:val="20"/>
          <w:szCs w:val="20"/>
        </w:rPr>
        <w:tab/>
        <w:t xml:space="preserve">It is, therefore, proposed to increase the existing tariff of GTIPL to cover this additional cost of lease rental of </w:t>
      </w:r>
      <w:r w:rsidRPr="00856C7C">
        <w:rPr>
          <w:rFonts w:ascii="Rupee Foradian" w:hAnsi="Rupee Foradian"/>
          <w:sz w:val="20"/>
          <w:szCs w:val="20"/>
        </w:rPr>
        <w:t>`</w:t>
      </w:r>
      <w:r w:rsidRPr="00856C7C">
        <w:rPr>
          <w:sz w:val="20"/>
          <w:szCs w:val="20"/>
        </w:rPr>
        <w:t xml:space="preserve"> 11 crores as per the detailed working provided as follows:</w:t>
      </w:r>
    </w:p>
    <w:p w:rsidR="00EA5148" w:rsidRPr="00856C7C" w:rsidRDefault="00EA5148" w:rsidP="00856C7C">
      <w:pPr>
        <w:autoSpaceDE w:val="0"/>
        <w:autoSpaceDN w:val="0"/>
        <w:adjustRightInd w:val="0"/>
        <w:ind w:left="1440" w:hanging="720"/>
        <w:contextualSpacing/>
        <w:jc w:val="both"/>
        <w:rPr>
          <w:sz w:val="20"/>
          <w:szCs w:val="20"/>
        </w:rPr>
      </w:pPr>
    </w:p>
    <w:tbl>
      <w:tblPr>
        <w:tblW w:w="11111" w:type="dxa"/>
        <w:tblInd w:w="540" w:type="dxa"/>
        <w:tblLook w:val="04A0" w:firstRow="1" w:lastRow="0" w:firstColumn="1" w:lastColumn="0" w:noHBand="0" w:noVBand="1"/>
      </w:tblPr>
      <w:tblGrid>
        <w:gridCol w:w="3255"/>
        <w:gridCol w:w="1175"/>
        <w:gridCol w:w="1085"/>
        <w:gridCol w:w="841"/>
        <w:gridCol w:w="488"/>
        <w:gridCol w:w="667"/>
        <w:gridCol w:w="328"/>
        <w:gridCol w:w="1122"/>
        <w:gridCol w:w="33"/>
        <w:gridCol w:w="962"/>
        <w:gridCol w:w="1155"/>
      </w:tblGrid>
      <w:tr w:rsidR="00EA5148" w:rsidRPr="00856C7C" w:rsidTr="00EA5148">
        <w:trPr>
          <w:trHeight w:val="300"/>
        </w:trPr>
        <w:tc>
          <w:tcPr>
            <w:tcW w:w="6356" w:type="dxa"/>
            <w:gridSpan w:val="4"/>
            <w:tcBorders>
              <w:top w:val="nil"/>
              <w:left w:val="nil"/>
              <w:bottom w:val="nil"/>
              <w:right w:val="nil"/>
            </w:tcBorders>
            <w:shd w:val="clear" w:color="auto" w:fill="auto"/>
            <w:noWrap/>
            <w:hideMark/>
          </w:tcPr>
          <w:p w:rsidR="00EA5148" w:rsidRPr="00856C7C" w:rsidRDefault="00EA5148" w:rsidP="00856C7C">
            <w:pPr>
              <w:contextualSpacing/>
              <w:rPr>
                <w:b/>
                <w:bCs w:val="0"/>
                <w:color w:val="000000"/>
                <w:sz w:val="20"/>
                <w:szCs w:val="20"/>
                <w:lang w:bidi="hi-IN"/>
              </w:rPr>
            </w:pPr>
            <w:r w:rsidRPr="00856C7C">
              <w:rPr>
                <w:b/>
                <w:color w:val="000000"/>
                <w:sz w:val="20"/>
                <w:szCs w:val="20"/>
              </w:rPr>
              <w:t>Calculation of additional Annual Revenue Requirement</w:t>
            </w:r>
          </w:p>
        </w:tc>
        <w:tc>
          <w:tcPr>
            <w:tcW w:w="1155" w:type="dxa"/>
            <w:gridSpan w:val="2"/>
            <w:tcBorders>
              <w:top w:val="nil"/>
              <w:left w:val="nil"/>
              <w:bottom w:val="nil"/>
              <w:right w:val="nil"/>
            </w:tcBorders>
            <w:shd w:val="clear" w:color="auto" w:fill="auto"/>
            <w:noWrap/>
            <w:hideMark/>
          </w:tcPr>
          <w:p w:rsidR="00EA5148" w:rsidRPr="00856C7C" w:rsidRDefault="00EA5148" w:rsidP="00856C7C">
            <w:pPr>
              <w:contextualSpacing/>
              <w:rPr>
                <w:b/>
                <w:bCs w:val="0"/>
                <w:color w:val="000000"/>
                <w:sz w:val="20"/>
                <w:szCs w:val="20"/>
              </w:rPr>
            </w:pPr>
          </w:p>
        </w:tc>
        <w:tc>
          <w:tcPr>
            <w:tcW w:w="1450" w:type="dxa"/>
            <w:gridSpan w:val="2"/>
            <w:tcBorders>
              <w:top w:val="nil"/>
              <w:left w:val="nil"/>
              <w:bottom w:val="nil"/>
              <w:right w:val="nil"/>
            </w:tcBorders>
            <w:shd w:val="clear" w:color="auto" w:fill="auto"/>
            <w:noWrap/>
            <w:hideMark/>
          </w:tcPr>
          <w:p w:rsidR="00EA5148" w:rsidRPr="00856C7C" w:rsidRDefault="00EA5148" w:rsidP="00856C7C">
            <w:pPr>
              <w:contextualSpacing/>
              <w:rPr>
                <w:sz w:val="20"/>
                <w:szCs w:val="20"/>
              </w:rPr>
            </w:pPr>
          </w:p>
        </w:tc>
        <w:tc>
          <w:tcPr>
            <w:tcW w:w="995" w:type="dxa"/>
            <w:gridSpan w:val="2"/>
            <w:tcBorders>
              <w:top w:val="nil"/>
              <w:left w:val="nil"/>
              <w:bottom w:val="nil"/>
              <w:right w:val="nil"/>
            </w:tcBorders>
            <w:shd w:val="clear" w:color="auto" w:fill="auto"/>
            <w:noWrap/>
            <w:hideMark/>
          </w:tcPr>
          <w:p w:rsidR="00EA5148" w:rsidRPr="00856C7C" w:rsidRDefault="00EA5148" w:rsidP="00856C7C">
            <w:pPr>
              <w:contextualSpacing/>
              <w:rPr>
                <w:sz w:val="20"/>
                <w:szCs w:val="20"/>
              </w:rPr>
            </w:pPr>
          </w:p>
        </w:tc>
        <w:tc>
          <w:tcPr>
            <w:tcW w:w="1155" w:type="dxa"/>
            <w:tcBorders>
              <w:top w:val="nil"/>
              <w:left w:val="nil"/>
              <w:bottom w:val="nil"/>
              <w:right w:val="nil"/>
            </w:tcBorders>
            <w:shd w:val="clear" w:color="auto" w:fill="auto"/>
            <w:noWrap/>
            <w:hideMark/>
          </w:tcPr>
          <w:p w:rsidR="00EA5148" w:rsidRPr="00856C7C" w:rsidRDefault="00EA5148" w:rsidP="00856C7C">
            <w:pPr>
              <w:contextualSpacing/>
              <w:rPr>
                <w:b/>
                <w:bCs w:val="0"/>
                <w:color w:val="000000"/>
                <w:sz w:val="20"/>
                <w:szCs w:val="20"/>
              </w:rPr>
            </w:pPr>
          </w:p>
        </w:tc>
      </w:tr>
      <w:tr w:rsidR="00EA5148" w:rsidRPr="00856C7C" w:rsidTr="00EA5148">
        <w:trPr>
          <w:gridAfter w:val="2"/>
          <w:wAfter w:w="2117" w:type="dxa"/>
          <w:trHeight w:val="1215"/>
        </w:trPr>
        <w:tc>
          <w:tcPr>
            <w:tcW w:w="3255" w:type="dxa"/>
            <w:tcBorders>
              <w:top w:val="single" w:sz="4" w:space="0" w:color="auto"/>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b/>
                <w:bCs w:val="0"/>
                <w:color w:val="000000"/>
                <w:sz w:val="20"/>
                <w:szCs w:val="20"/>
              </w:rPr>
            </w:pPr>
            <w:r w:rsidRPr="00856C7C">
              <w:rPr>
                <w:b/>
                <w:color w:val="000000"/>
                <w:sz w:val="20"/>
                <w:szCs w:val="20"/>
              </w:rPr>
              <w:t>Tariff description</w:t>
            </w:r>
          </w:p>
        </w:tc>
        <w:tc>
          <w:tcPr>
            <w:tcW w:w="1175" w:type="dxa"/>
            <w:tcBorders>
              <w:top w:val="single" w:sz="4" w:space="0" w:color="auto"/>
              <w:left w:val="nil"/>
              <w:bottom w:val="single" w:sz="4" w:space="0" w:color="auto"/>
              <w:right w:val="single" w:sz="4" w:space="0" w:color="auto"/>
            </w:tcBorders>
            <w:shd w:val="clear" w:color="auto" w:fill="auto"/>
            <w:hideMark/>
          </w:tcPr>
          <w:p w:rsidR="00EA5148" w:rsidRPr="00856C7C" w:rsidRDefault="00EA5148" w:rsidP="00856C7C">
            <w:pPr>
              <w:ind w:left="-56" w:right="-85"/>
              <w:contextualSpacing/>
              <w:jc w:val="center"/>
              <w:rPr>
                <w:b/>
                <w:color w:val="000000"/>
                <w:sz w:val="20"/>
                <w:szCs w:val="20"/>
              </w:rPr>
            </w:pPr>
            <w:r w:rsidRPr="00856C7C">
              <w:rPr>
                <w:b/>
                <w:color w:val="000000"/>
                <w:sz w:val="20"/>
                <w:szCs w:val="20"/>
              </w:rPr>
              <w:t>Average traffic as per proposal in containers</w:t>
            </w:r>
          </w:p>
        </w:tc>
        <w:tc>
          <w:tcPr>
            <w:tcW w:w="1085" w:type="dxa"/>
            <w:tcBorders>
              <w:top w:val="single" w:sz="4" w:space="0" w:color="auto"/>
              <w:left w:val="nil"/>
              <w:bottom w:val="single" w:sz="4" w:space="0" w:color="auto"/>
              <w:right w:val="single" w:sz="4" w:space="0" w:color="auto"/>
            </w:tcBorders>
            <w:shd w:val="clear" w:color="auto" w:fill="auto"/>
            <w:hideMark/>
          </w:tcPr>
          <w:p w:rsidR="00EA5148" w:rsidRPr="00856C7C" w:rsidRDefault="00EA5148" w:rsidP="00856C7C">
            <w:pPr>
              <w:ind w:left="-56" w:right="-85"/>
              <w:contextualSpacing/>
              <w:jc w:val="center"/>
              <w:rPr>
                <w:b/>
                <w:color w:val="000000"/>
                <w:sz w:val="20"/>
                <w:szCs w:val="20"/>
              </w:rPr>
            </w:pPr>
            <w:r w:rsidRPr="00856C7C">
              <w:rPr>
                <w:b/>
                <w:color w:val="000000"/>
                <w:sz w:val="20"/>
                <w:szCs w:val="20"/>
              </w:rPr>
              <w:t>Proposed increase  per container</w:t>
            </w:r>
          </w:p>
        </w:tc>
        <w:tc>
          <w:tcPr>
            <w:tcW w:w="1329" w:type="dxa"/>
            <w:gridSpan w:val="2"/>
            <w:tcBorders>
              <w:top w:val="single" w:sz="4" w:space="0" w:color="auto"/>
              <w:left w:val="nil"/>
              <w:bottom w:val="single" w:sz="4" w:space="0" w:color="auto"/>
              <w:right w:val="single" w:sz="4" w:space="0" w:color="auto"/>
            </w:tcBorders>
            <w:shd w:val="clear" w:color="auto" w:fill="auto"/>
            <w:hideMark/>
          </w:tcPr>
          <w:p w:rsidR="00EA5148" w:rsidRPr="00856C7C" w:rsidRDefault="00EA5148" w:rsidP="00856C7C">
            <w:pPr>
              <w:ind w:left="-56" w:right="-85"/>
              <w:contextualSpacing/>
              <w:jc w:val="center"/>
              <w:rPr>
                <w:b/>
                <w:color w:val="000000"/>
                <w:sz w:val="20"/>
                <w:szCs w:val="20"/>
              </w:rPr>
            </w:pPr>
            <w:r w:rsidRPr="00856C7C">
              <w:rPr>
                <w:b/>
                <w:color w:val="000000"/>
                <w:sz w:val="20"/>
                <w:szCs w:val="20"/>
              </w:rPr>
              <w:t>Incremental Revenue</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EA5148" w:rsidRPr="00856C7C" w:rsidRDefault="00EA5148" w:rsidP="00856C7C">
            <w:pPr>
              <w:ind w:left="-56" w:right="-85"/>
              <w:contextualSpacing/>
              <w:jc w:val="center"/>
              <w:rPr>
                <w:b/>
                <w:color w:val="000000"/>
                <w:sz w:val="20"/>
                <w:szCs w:val="20"/>
              </w:rPr>
            </w:pPr>
            <w:r w:rsidRPr="00856C7C">
              <w:rPr>
                <w:b/>
                <w:color w:val="000000"/>
                <w:sz w:val="20"/>
                <w:szCs w:val="20"/>
              </w:rPr>
              <w:t>Existing rate w.e.f 1.5.2020</w:t>
            </w:r>
          </w:p>
        </w:tc>
        <w:tc>
          <w:tcPr>
            <w:tcW w:w="1155" w:type="dxa"/>
            <w:gridSpan w:val="2"/>
            <w:tcBorders>
              <w:top w:val="single" w:sz="4" w:space="0" w:color="auto"/>
              <w:left w:val="nil"/>
              <w:bottom w:val="single" w:sz="4" w:space="0" w:color="auto"/>
              <w:right w:val="single" w:sz="4" w:space="0" w:color="auto"/>
            </w:tcBorders>
            <w:shd w:val="clear" w:color="auto" w:fill="auto"/>
            <w:hideMark/>
          </w:tcPr>
          <w:p w:rsidR="00EA5148" w:rsidRPr="00856C7C" w:rsidRDefault="00EA5148" w:rsidP="00856C7C">
            <w:pPr>
              <w:ind w:left="-56" w:right="-85"/>
              <w:contextualSpacing/>
              <w:jc w:val="center"/>
              <w:rPr>
                <w:b/>
                <w:bCs w:val="0"/>
                <w:color w:val="000000"/>
                <w:sz w:val="20"/>
                <w:szCs w:val="20"/>
              </w:rPr>
            </w:pPr>
            <w:r w:rsidRPr="00856C7C">
              <w:rPr>
                <w:b/>
                <w:color w:val="000000"/>
                <w:sz w:val="20"/>
                <w:szCs w:val="20"/>
              </w:rPr>
              <w:t>Proposed rate</w:t>
            </w:r>
          </w:p>
        </w:tc>
      </w:tr>
      <w:tr w:rsidR="00EA5148" w:rsidRPr="00856C7C" w:rsidTr="00EA5148">
        <w:trPr>
          <w:gridAfter w:val="2"/>
          <w:wAfter w:w="2117" w:type="dxa"/>
          <w:trHeight w:val="300"/>
        </w:trPr>
        <w:tc>
          <w:tcPr>
            <w:tcW w:w="3255" w:type="dxa"/>
            <w:tcBorders>
              <w:top w:val="nil"/>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color w:val="000000"/>
                <w:sz w:val="20"/>
                <w:szCs w:val="20"/>
              </w:rPr>
            </w:pPr>
            <w:r w:rsidRPr="00856C7C">
              <w:rPr>
                <w:color w:val="000000"/>
                <w:sz w:val="20"/>
                <w:szCs w:val="20"/>
              </w:rPr>
              <w:t>Discharge Foreign Empty Gen 20</w:t>
            </w:r>
          </w:p>
        </w:tc>
        <w:tc>
          <w:tcPr>
            <w:tcW w:w="117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13,452 </w:t>
            </w:r>
          </w:p>
        </w:tc>
        <w:tc>
          <w:tcPr>
            <w:tcW w:w="108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72.5</w:t>
            </w:r>
          </w:p>
        </w:tc>
        <w:tc>
          <w:tcPr>
            <w:tcW w:w="1329"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975,294 </w:t>
            </w:r>
          </w:p>
        </w:tc>
        <w:tc>
          <w:tcPr>
            <w:tcW w:w="99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2,108.12 </w:t>
            </w:r>
          </w:p>
        </w:tc>
        <w:tc>
          <w:tcPr>
            <w:tcW w:w="115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2,180.62 </w:t>
            </w:r>
          </w:p>
        </w:tc>
      </w:tr>
      <w:tr w:rsidR="00EA5148" w:rsidRPr="00856C7C" w:rsidTr="00EA5148">
        <w:trPr>
          <w:gridAfter w:val="2"/>
          <w:wAfter w:w="2117" w:type="dxa"/>
          <w:trHeight w:val="197"/>
        </w:trPr>
        <w:tc>
          <w:tcPr>
            <w:tcW w:w="3255" w:type="dxa"/>
            <w:tcBorders>
              <w:top w:val="nil"/>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color w:val="000000"/>
                <w:sz w:val="20"/>
                <w:szCs w:val="20"/>
              </w:rPr>
            </w:pPr>
            <w:r w:rsidRPr="00856C7C">
              <w:rPr>
                <w:color w:val="000000"/>
                <w:sz w:val="20"/>
                <w:szCs w:val="20"/>
              </w:rPr>
              <w:t>Discharge Foreign Empty Gen 40</w:t>
            </w:r>
          </w:p>
        </w:tc>
        <w:tc>
          <w:tcPr>
            <w:tcW w:w="117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40,863 </w:t>
            </w:r>
          </w:p>
        </w:tc>
        <w:tc>
          <w:tcPr>
            <w:tcW w:w="108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108.75</w:t>
            </w:r>
          </w:p>
        </w:tc>
        <w:tc>
          <w:tcPr>
            <w:tcW w:w="1329"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4,443,815 </w:t>
            </w:r>
          </w:p>
        </w:tc>
        <w:tc>
          <w:tcPr>
            <w:tcW w:w="99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3,162.19 </w:t>
            </w:r>
          </w:p>
        </w:tc>
        <w:tc>
          <w:tcPr>
            <w:tcW w:w="115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3,270.94 </w:t>
            </w:r>
          </w:p>
        </w:tc>
      </w:tr>
      <w:tr w:rsidR="00EA5148" w:rsidRPr="00856C7C" w:rsidTr="00EA5148">
        <w:trPr>
          <w:gridAfter w:val="2"/>
          <w:wAfter w:w="2117" w:type="dxa"/>
          <w:trHeight w:val="300"/>
        </w:trPr>
        <w:tc>
          <w:tcPr>
            <w:tcW w:w="3255" w:type="dxa"/>
            <w:tcBorders>
              <w:top w:val="nil"/>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color w:val="000000"/>
                <w:sz w:val="20"/>
                <w:szCs w:val="20"/>
              </w:rPr>
            </w:pPr>
            <w:r w:rsidRPr="00856C7C">
              <w:rPr>
                <w:color w:val="000000"/>
                <w:sz w:val="20"/>
                <w:szCs w:val="20"/>
              </w:rPr>
              <w:t>Discharge Foreign Empty Gen 45</w:t>
            </w:r>
          </w:p>
        </w:tc>
        <w:tc>
          <w:tcPr>
            <w:tcW w:w="117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96 </w:t>
            </w:r>
          </w:p>
        </w:tc>
        <w:tc>
          <w:tcPr>
            <w:tcW w:w="108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145</w:t>
            </w:r>
          </w:p>
        </w:tc>
        <w:tc>
          <w:tcPr>
            <w:tcW w:w="1329"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13,968 </w:t>
            </w:r>
          </w:p>
        </w:tc>
        <w:tc>
          <w:tcPr>
            <w:tcW w:w="99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4,216.25 </w:t>
            </w:r>
          </w:p>
        </w:tc>
        <w:tc>
          <w:tcPr>
            <w:tcW w:w="115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4,361.25 </w:t>
            </w:r>
          </w:p>
        </w:tc>
      </w:tr>
      <w:tr w:rsidR="00EA5148" w:rsidRPr="00856C7C" w:rsidTr="00EA5148">
        <w:trPr>
          <w:gridAfter w:val="2"/>
          <w:wAfter w:w="2117" w:type="dxa"/>
          <w:trHeight w:val="300"/>
        </w:trPr>
        <w:tc>
          <w:tcPr>
            <w:tcW w:w="3255" w:type="dxa"/>
            <w:tcBorders>
              <w:top w:val="nil"/>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color w:val="000000"/>
                <w:sz w:val="20"/>
                <w:szCs w:val="20"/>
              </w:rPr>
            </w:pPr>
            <w:r w:rsidRPr="00856C7C">
              <w:rPr>
                <w:color w:val="000000"/>
                <w:sz w:val="20"/>
                <w:szCs w:val="20"/>
              </w:rPr>
              <w:t>Discharge Foreign Full Gen 20</w:t>
            </w:r>
          </w:p>
        </w:tc>
        <w:tc>
          <w:tcPr>
            <w:tcW w:w="117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356,186 </w:t>
            </w:r>
          </w:p>
        </w:tc>
        <w:tc>
          <w:tcPr>
            <w:tcW w:w="108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75</w:t>
            </w:r>
          </w:p>
        </w:tc>
        <w:tc>
          <w:tcPr>
            <w:tcW w:w="1329"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26,713,950 </w:t>
            </w:r>
          </w:p>
        </w:tc>
        <w:tc>
          <w:tcPr>
            <w:tcW w:w="99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2,627.76 </w:t>
            </w:r>
          </w:p>
        </w:tc>
        <w:tc>
          <w:tcPr>
            <w:tcW w:w="115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2,702.76 </w:t>
            </w:r>
          </w:p>
        </w:tc>
      </w:tr>
      <w:tr w:rsidR="00EA5148" w:rsidRPr="00856C7C" w:rsidTr="00EA5148">
        <w:trPr>
          <w:gridAfter w:val="2"/>
          <w:wAfter w:w="2117" w:type="dxa"/>
          <w:trHeight w:val="300"/>
        </w:trPr>
        <w:tc>
          <w:tcPr>
            <w:tcW w:w="3255" w:type="dxa"/>
            <w:tcBorders>
              <w:top w:val="nil"/>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color w:val="000000"/>
                <w:sz w:val="20"/>
                <w:szCs w:val="20"/>
              </w:rPr>
            </w:pPr>
            <w:r w:rsidRPr="00856C7C">
              <w:rPr>
                <w:color w:val="000000"/>
                <w:sz w:val="20"/>
                <w:szCs w:val="20"/>
              </w:rPr>
              <w:t>Discharge Foreign Full Gen 40</w:t>
            </w:r>
          </w:p>
        </w:tc>
        <w:tc>
          <w:tcPr>
            <w:tcW w:w="117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258,938 </w:t>
            </w:r>
          </w:p>
        </w:tc>
        <w:tc>
          <w:tcPr>
            <w:tcW w:w="108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112.5</w:t>
            </w:r>
          </w:p>
        </w:tc>
        <w:tc>
          <w:tcPr>
            <w:tcW w:w="1329"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29,130,488 </w:t>
            </w:r>
          </w:p>
        </w:tc>
        <w:tc>
          <w:tcPr>
            <w:tcW w:w="99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3,941.63 </w:t>
            </w:r>
          </w:p>
        </w:tc>
        <w:tc>
          <w:tcPr>
            <w:tcW w:w="115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4,054.13 </w:t>
            </w:r>
          </w:p>
        </w:tc>
      </w:tr>
      <w:tr w:rsidR="00EA5148" w:rsidRPr="00856C7C" w:rsidTr="00EA5148">
        <w:trPr>
          <w:gridAfter w:val="2"/>
          <w:wAfter w:w="2117" w:type="dxa"/>
          <w:trHeight w:val="300"/>
        </w:trPr>
        <w:tc>
          <w:tcPr>
            <w:tcW w:w="3255" w:type="dxa"/>
            <w:tcBorders>
              <w:top w:val="nil"/>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color w:val="000000"/>
                <w:sz w:val="20"/>
                <w:szCs w:val="20"/>
              </w:rPr>
            </w:pPr>
            <w:r w:rsidRPr="00856C7C">
              <w:rPr>
                <w:color w:val="000000"/>
                <w:sz w:val="20"/>
                <w:szCs w:val="20"/>
              </w:rPr>
              <w:t>Discharge Foreign Full Gen 45</w:t>
            </w:r>
          </w:p>
        </w:tc>
        <w:tc>
          <w:tcPr>
            <w:tcW w:w="117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267 </w:t>
            </w:r>
          </w:p>
        </w:tc>
        <w:tc>
          <w:tcPr>
            <w:tcW w:w="108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150</w:t>
            </w:r>
          </w:p>
        </w:tc>
        <w:tc>
          <w:tcPr>
            <w:tcW w:w="1329"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40,000 </w:t>
            </w:r>
          </w:p>
        </w:tc>
        <w:tc>
          <w:tcPr>
            <w:tcW w:w="99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5,255.51 </w:t>
            </w:r>
          </w:p>
        </w:tc>
        <w:tc>
          <w:tcPr>
            <w:tcW w:w="115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5,405.51 </w:t>
            </w:r>
          </w:p>
        </w:tc>
      </w:tr>
      <w:tr w:rsidR="00EA5148" w:rsidRPr="00856C7C" w:rsidTr="00EA5148">
        <w:trPr>
          <w:gridAfter w:val="2"/>
          <w:wAfter w:w="2117" w:type="dxa"/>
          <w:trHeight w:val="300"/>
        </w:trPr>
        <w:tc>
          <w:tcPr>
            <w:tcW w:w="3255" w:type="dxa"/>
            <w:tcBorders>
              <w:top w:val="nil"/>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color w:val="000000"/>
                <w:sz w:val="20"/>
                <w:szCs w:val="20"/>
              </w:rPr>
            </w:pPr>
            <w:r w:rsidRPr="00856C7C">
              <w:rPr>
                <w:color w:val="000000"/>
                <w:sz w:val="20"/>
                <w:szCs w:val="20"/>
              </w:rPr>
              <w:t>Load Foreign Empty Gen 20</w:t>
            </w:r>
          </w:p>
        </w:tc>
        <w:tc>
          <w:tcPr>
            <w:tcW w:w="117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71,871 </w:t>
            </w:r>
          </w:p>
        </w:tc>
        <w:tc>
          <w:tcPr>
            <w:tcW w:w="108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72.5</w:t>
            </w:r>
          </w:p>
        </w:tc>
        <w:tc>
          <w:tcPr>
            <w:tcW w:w="1329"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5,210,623 </w:t>
            </w:r>
          </w:p>
        </w:tc>
        <w:tc>
          <w:tcPr>
            <w:tcW w:w="99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2,108.12 </w:t>
            </w:r>
          </w:p>
        </w:tc>
        <w:tc>
          <w:tcPr>
            <w:tcW w:w="115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2,180.62 </w:t>
            </w:r>
          </w:p>
        </w:tc>
      </w:tr>
      <w:tr w:rsidR="00EA5148" w:rsidRPr="00856C7C" w:rsidTr="00EA5148">
        <w:trPr>
          <w:gridAfter w:val="2"/>
          <w:wAfter w:w="2117" w:type="dxa"/>
          <w:trHeight w:val="300"/>
        </w:trPr>
        <w:tc>
          <w:tcPr>
            <w:tcW w:w="3255" w:type="dxa"/>
            <w:tcBorders>
              <w:top w:val="nil"/>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color w:val="000000"/>
                <w:sz w:val="20"/>
                <w:szCs w:val="20"/>
              </w:rPr>
            </w:pPr>
            <w:r w:rsidRPr="00856C7C">
              <w:rPr>
                <w:color w:val="000000"/>
                <w:sz w:val="20"/>
                <w:szCs w:val="20"/>
              </w:rPr>
              <w:t>Load Foreign Empty Gen 40</w:t>
            </w:r>
          </w:p>
        </w:tc>
        <w:tc>
          <w:tcPr>
            <w:tcW w:w="117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65,629 </w:t>
            </w:r>
          </w:p>
        </w:tc>
        <w:tc>
          <w:tcPr>
            <w:tcW w:w="108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108.75</w:t>
            </w:r>
          </w:p>
        </w:tc>
        <w:tc>
          <w:tcPr>
            <w:tcW w:w="1329"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7,137,154 </w:t>
            </w:r>
          </w:p>
        </w:tc>
        <w:tc>
          <w:tcPr>
            <w:tcW w:w="99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3,162.19 </w:t>
            </w:r>
          </w:p>
        </w:tc>
        <w:tc>
          <w:tcPr>
            <w:tcW w:w="115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3,270.94 </w:t>
            </w:r>
          </w:p>
        </w:tc>
      </w:tr>
      <w:tr w:rsidR="00EA5148" w:rsidRPr="00856C7C" w:rsidTr="00EA5148">
        <w:trPr>
          <w:gridAfter w:val="2"/>
          <w:wAfter w:w="2117" w:type="dxa"/>
          <w:trHeight w:val="300"/>
        </w:trPr>
        <w:tc>
          <w:tcPr>
            <w:tcW w:w="3255" w:type="dxa"/>
            <w:tcBorders>
              <w:top w:val="nil"/>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color w:val="000000"/>
                <w:sz w:val="20"/>
                <w:szCs w:val="20"/>
              </w:rPr>
            </w:pPr>
            <w:r w:rsidRPr="00856C7C">
              <w:rPr>
                <w:color w:val="000000"/>
                <w:sz w:val="20"/>
                <w:szCs w:val="20"/>
              </w:rPr>
              <w:t>Load Foreign Empty Gen 45</w:t>
            </w:r>
          </w:p>
        </w:tc>
        <w:tc>
          <w:tcPr>
            <w:tcW w:w="117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42 </w:t>
            </w:r>
          </w:p>
        </w:tc>
        <w:tc>
          <w:tcPr>
            <w:tcW w:w="108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145</w:t>
            </w:r>
          </w:p>
        </w:tc>
        <w:tc>
          <w:tcPr>
            <w:tcW w:w="1329"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6,042 </w:t>
            </w:r>
          </w:p>
        </w:tc>
        <w:tc>
          <w:tcPr>
            <w:tcW w:w="99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4,216.25 </w:t>
            </w:r>
          </w:p>
        </w:tc>
        <w:tc>
          <w:tcPr>
            <w:tcW w:w="115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4,361.25 </w:t>
            </w:r>
          </w:p>
        </w:tc>
      </w:tr>
      <w:tr w:rsidR="00EA5148" w:rsidRPr="00856C7C" w:rsidTr="00EA5148">
        <w:trPr>
          <w:gridAfter w:val="2"/>
          <w:wAfter w:w="2117" w:type="dxa"/>
          <w:trHeight w:val="300"/>
        </w:trPr>
        <w:tc>
          <w:tcPr>
            <w:tcW w:w="3255" w:type="dxa"/>
            <w:tcBorders>
              <w:top w:val="nil"/>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color w:val="000000"/>
                <w:sz w:val="20"/>
                <w:szCs w:val="20"/>
              </w:rPr>
            </w:pPr>
            <w:r w:rsidRPr="00856C7C">
              <w:rPr>
                <w:color w:val="000000"/>
                <w:sz w:val="20"/>
                <w:szCs w:val="20"/>
              </w:rPr>
              <w:t>Load Foreign Full Gen 20</w:t>
            </w:r>
          </w:p>
        </w:tc>
        <w:tc>
          <w:tcPr>
            <w:tcW w:w="117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230,937 </w:t>
            </w:r>
          </w:p>
        </w:tc>
        <w:tc>
          <w:tcPr>
            <w:tcW w:w="108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75</w:t>
            </w:r>
          </w:p>
        </w:tc>
        <w:tc>
          <w:tcPr>
            <w:tcW w:w="1329"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17,320,300 </w:t>
            </w:r>
          </w:p>
        </w:tc>
        <w:tc>
          <w:tcPr>
            <w:tcW w:w="99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2,627.76 </w:t>
            </w:r>
          </w:p>
        </w:tc>
        <w:tc>
          <w:tcPr>
            <w:tcW w:w="115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2,702.76 </w:t>
            </w:r>
          </w:p>
        </w:tc>
      </w:tr>
      <w:tr w:rsidR="00EA5148" w:rsidRPr="00856C7C" w:rsidTr="00EA5148">
        <w:trPr>
          <w:gridAfter w:val="2"/>
          <w:wAfter w:w="2117" w:type="dxa"/>
          <w:trHeight w:val="300"/>
        </w:trPr>
        <w:tc>
          <w:tcPr>
            <w:tcW w:w="3255" w:type="dxa"/>
            <w:tcBorders>
              <w:top w:val="nil"/>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color w:val="000000"/>
                <w:sz w:val="20"/>
                <w:szCs w:val="20"/>
              </w:rPr>
            </w:pPr>
            <w:r w:rsidRPr="00856C7C">
              <w:rPr>
                <w:color w:val="000000"/>
                <w:sz w:val="20"/>
                <w:szCs w:val="20"/>
              </w:rPr>
              <w:t>Load Foreign Full Gen 40</w:t>
            </w:r>
          </w:p>
        </w:tc>
        <w:tc>
          <w:tcPr>
            <w:tcW w:w="117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167,836 </w:t>
            </w:r>
          </w:p>
        </w:tc>
        <w:tc>
          <w:tcPr>
            <w:tcW w:w="108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112.5</w:t>
            </w:r>
          </w:p>
        </w:tc>
        <w:tc>
          <w:tcPr>
            <w:tcW w:w="1329"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18,881,513 </w:t>
            </w:r>
          </w:p>
        </w:tc>
        <w:tc>
          <w:tcPr>
            <w:tcW w:w="99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3,941.63 </w:t>
            </w:r>
          </w:p>
        </w:tc>
        <w:tc>
          <w:tcPr>
            <w:tcW w:w="115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4,054.13 </w:t>
            </w:r>
          </w:p>
        </w:tc>
      </w:tr>
      <w:tr w:rsidR="00EA5148" w:rsidRPr="00856C7C" w:rsidTr="00EA5148">
        <w:trPr>
          <w:gridAfter w:val="2"/>
          <w:wAfter w:w="2117" w:type="dxa"/>
          <w:trHeight w:val="300"/>
        </w:trPr>
        <w:tc>
          <w:tcPr>
            <w:tcW w:w="3255" w:type="dxa"/>
            <w:tcBorders>
              <w:top w:val="nil"/>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color w:val="000000"/>
                <w:sz w:val="20"/>
                <w:szCs w:val="20"/>
              </w:rPr>
            </w:pPr>
            <w:r w:rsidRPr="00856C7C">
              <w:rPr>
                <w:color w:val="000000"/>
                <w:sz w:val="20"/>
                <w:szCs w:val="20"/>
              </w:rPr>
              <w:t>Load Foreign Full Gen 45</w:t>
            </w:r>
          </w:p>
        </w:tc>
        <w:tc>
          <w:tcPr>
            <w:tcW w:w="117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222 </w:t>
            </w:r>
          </w:p>
        </w:tc>
        <w:tc>
          <w:tcPr>
            <w:tcW w:w="108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150</w:t>
            </w:r>
          </w:p>
        </w:tc>
        <w:tc>
          <w:tcPr>
            <w:tcW w:w="1329"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33,300 </w:t>
            </w:r>
          </w:p>
        </w:tc>
        <w:tc>
          <w:tcPr>
            <w:tcW w:w="99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5,255.51 </w:t>
            </w:r>
          </w:p>
        </w:tc>
        <w:tc>
          <w:tcPr>
            <w:tcW w:w="115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xml:space="preserve"> 5,405.51 </w:t>
            </w:r>
          </w:p>
        </w:tc>
      </w:tr>
      <w:tr w:rsidR="00EA5148" w:rsidRPr="00856C7C" w:rsidTr="00EA5148">
        <w:trPr>
          <w:gridAfter w:val="2"/>
          <w:wAfter w:w="2117" w:type="dxa"/>
          <w:trHeight w:val="300"/>
        </w:trPr>
        <w:tc>
          <w:tcPr>
            <w:tcW w:w="3255" w:type="dxa"/>
            <w:tcBorders>
              <w:top w:val="nil"/>
              <w:left w:val="single" w:sz="4" w:space="0" w:color="auto"/>
              <w:bottom w:val="single" w:sz="4" w:space="0" w:color="auto"/>
              <w:right w:val="single" w:sz="4" w:space="0" w:color="auto"/>
            </w:tcBorders>
            <w:shd w:val="clear" w:color="auto" w:fill="auto"/>
            <w:noWrap/>
            <w:hideMark/>
          </w:tcPr>
          <w:p w:rsidR="00EA5148" w:rsidRPr="00856C7C" w:rsidRDefault="00EA5148" w:rsidP="00856C7C">
            <w:pPr>
              <w:contextualSpacing/>
              <w:rPr>
                <w:b/>
                <w:bCs w:val="0"/>
                <w:color w:val="000000"/>
                <w:sz w:val="20"/>
                <w:szCs w:val="20"/>
              </w:rPr>
            </w:pPr>
            <w:r w:rsidRPr="00856C7C">
              <w:rPr>
                <w:b/>
                <w:color w:val="000000"/>
                <w:sz w:val="20"/>
                <w:szCs w:val="20"/>
              </w:rPr>
              <w:t>Total</w:t>
            </w:r>
          </w:p>
        </w:tc>
        <w:tc>
          <w:tcPr>
            <w:tcW w:w="117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b/>
                <w:bCs w:val="0"/>
                <w:color w:val="000000"/>
                <w:sz w:val="20"/>
                <w:szCs w:val="20"/>
              </w:rPr>
            </w:pPr>
            <w:r w:rsidRPr="00856C7C">
              <w:rPr>
                <w:b/>
                <w:color w:val="000000"/>
                <w:sz w:val="20"/>
                <w:szCs w:val="20"/>
              </w:rPr>
              <w:t xml:space="preserve">1,206,338 </w:t>
            </w:r>
          </w:p>
        </w:tc>
        <w:tc>
          <w:tcPr>
            <w:tcW w:w="1085" w:type="dxa"/>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w:t>
            </w:r>
          </w:p>
        </w:tc>
        <w:tc>
          <w:tcPr>
            <w:tcW w:w="1329"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b/>
                <w:bCs w:val="0"/>
                <w:color w:val="000000"/>
                <w:sz w:val="20"/>
                <w:szCs w:val="20"/>
              </w:rPr>
            </w:pPr>
            <w:r w:rsidRPr="00856C7C">
              <w:rPr>
                <w:b/>
                <w:color w:val="000000"/>
                <w:sz w:val="20"/>
                <w:szCs w:val="20"/>
              </w:rPr>
              <w:t xml:space="preserve">109,906,446 </w:t>
            </w:r>
          </w:p>
        </w:tc>
        <w:tc>
          <w:tcPr>
            <w:tcW w:w="99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w:t>
            </w:r>
          </w:p>
        </w:tc>
        <w:tc>
          <w:tcPr>
            <w:tcW w:w="1155" w:type="dxa"/>
            <w:gridSpan w:val="2"/>
            <w:tcBorders>
              <w:top w:val="nil"/>
              <w:left w:val="nil"/>
              <w:bottom w:val="single" w:sz="4" w:space="0" w:color="auto"/>
              <w:right w:val="single" w:sz="4" w:space="0" w:color="auto"/>
            </w:tcBorders>
            <w:shd w:val="clear" w:color="auto" w:fill="auto"/>
            <w:noWrap/>
            <w:hideMark/>
          </w:tcPr>
          <w:p w:rsidR="00EA5148" w:rsidRPr="00856C7C" w:rsidRDefault="00EA5148" w:rsidP="00856C7C">
            <w:pPr>
              <w:contextualSpacing/>
              <w:jc w:val="right"/>
              <w:rPr>
                <w:color w:val="000000"/>
                <w:sz w:val="20"/>
                <w:szCs w:val="20"/>
              </w:rPr>
            </w:pPr>
            <w:r w:rsidRPr="00856C7C">
              <w:rPr>
                <w:color w:val="000000"/>
                <w:sz w:val="20"/>
                <w:szCs w:val="20"/>
              </w:rPr>
              <w:t> </w:t>
            </w:r>
          </w:p>
        </w:tc>
      </w:tr>
    </w:tbl>
    <w:p w:rsidR="00EA5148" w:rsidRPr="00856C7C" w:rsidRDefault="00EA5148" w:rsidP="00856C7C">
      <w:pPr>
        <w:autoSpaceDE w:val="0"/>
        <w:autoSpaceDN w:val="0"/>
        <w:adjustRightInd w:val="0"/>
        <w:contextualSpacing/>
        <w:jc w:val="both"/>
        <w:rPr>
          <w:sz w:val="20"/>
          <w:szCs w:val="20"/>
        </w:rPr>
      </w:pPr>
    </w:p>
    <w:p w:rsidR="00EA5148" w:rsidRPr="00856C7C" w:rsidRDefault="00EA5148" w:rsidP="00856C7C">
      <w:pPr>
        <w:autoSpaceDE w:val="0"/>
        <w:autoSpaceDN w:val="0"/>
        <w:adjustRightInd w:val="0"/>
        <w:ind w:left="1440" w:hanging="720"/>
        <w:contextualSpacing/>
        <w:jc w:val="both"/>
        <w:rPr>
          <w:sz w:val="20"/>
          <w:szCs w:val="20"/>
        </w:rPr>
      </w:pPr>
      <w:r w:rsidRPr="00856C7C">
        <w:rPr>
          <w:sz w:val="20"/>
          <w:szCs w:val="20"/>
        </w:rPr>
        <w:t>(v).</w:t>
      </w:r>
      <w:r w:rsidRPr="00856C7C">
        <w:rPr>
          <w:sz w:val="20"/>
          <w:szCs w:val="20"/>
        </w:rPr>
        <w:tab/>
        <w:t>TAMP is requested to make the revised tariff effective immediately.</w:t>
      </w:r>
    </w:p>
    <w:p w:rsidR="00EA5148" w:rsidRPr="00856C7C" w:rsidRDefault="00EA5148" w:rsidP="00856C7C">
      <w:pPr>
        <w:spacing w:before="39"/>
        <w:ind w:left="1440" w:right="18" w:hanging="720"/>
        <w:contextualSpacing/>
        <w:jc w:val="both"/>
        <w:rPr>
          <w:sz w:val="20"/>
          <w:szCs w:val="20"/>
        </w:rPr>
      </w:pPr>
    </w:p>
    <w:p w:rsidR="00EA5148" w:rsidRPr="00856C7C" w:rsidRDefault="00EA5148" w:rsidP="00856C7C">
      <w:pPr>
        <w:contextualSpacing/>
        <w:jc w:val="both"/>
        <w:rPr>
          <w:sz w:val="20"/>
          <w:szCs w:val="20"/>
        </w:rPr>
      </w:pPr>
      <w:r w:rsidRPr="00856C7C">
        <w:rPr>
          <w:sz w:val="20"/>
          <w:szCs w:val="20"/>
        </w:rPr>
        <w:t>3.2.</w:t>
      </w:r>
      <w:r w:rsidRPr="00856C7C">
        <w:rPr>
          <w:sz w:val="20"/>
          <w:szCs w:val="20"/>
        </w:rPr>
        <w:tab/>
      </w:r>
      <w:r w:rsidRPr="00856C7C">
        <w:rPr>
          <w:sz w:val="20"/>
          <w:szCs w:val="20"/>
        </w:rPr>
        <w:tab/>
        <w:t xml:space="preserve">The GTIPL has furnished the JNPT Trade Circular dated 14 July 2020 intimating the revision of Estate Rentals. </w:t>
      </w:r>
    </w:p>
    <w:p w:rsidR="00EA5148" w:rsidRPr="00856C7C" w:rsidRDefault="00EA5148" w:rsidP="00856C7C">
      <w:pPr>
        <w:contextualSpacing/>
        <w:jc w:val="both"/>
        <w:rPr>
          <w:sz w:val="20"/>
          <w:szCs w:val="20"/>
        </w:rPr>
      </w:pPr>
    </w:p>
    <w:p w:rsidR="00EA5148" w:rsidRPr="002A3EE5" w:rsidRDefault="00EA5148" w:rsidP="002A3EE5">
      <w:pPr>
        <w:tabs>
          <w:tab w:val="left" w:pos="567"/>
        </w:tabs>
        <w:autoSpaceDE w:val="0"/>
        <w:autoSpaceDN w:val="0"/>
        <w:adjustRightInd w:val="0"/>
        <w:contextualSpacing/>
        <w:jc w:val="both"/>
        <w:rPr>
          <w:b/>
          <w:bCs w:val="0"/>
          <w:sz w:val="20"/>
          <w:szCs w:val="20"/>
          <w:lang w:val="en-IN" w:eastAsia="en-IN"/>
        </w:rPr>
      </w:pPr>
      <w:r w:rsidRPr="00856C7C">
        <w:rPr>
          <w:color w:val="000000" w:themeColor="text1"/>
          <w:sz w:val="20"/>
          <w:szCs w:val="20"/>
        </w:rPr>
        <w:t>3.3.</w:t>
      </w:r>
      <w:r w:rsidRPr="00856C7C">
        <w:rPr>
          <w:color w:val="000000" w:themeColor="text1"/>
          <w:sz w:val="20"/>
          <w:szCs w:val="20"/>
        </w:rPr>
        <w:tab/>
      </w:r>
      <w:r w:rsidRPr="00856C7C">
        <w:rPr>
          <w:color w:val="000000" w:themeColor="text1"/>
          <w:sz w:val="20"/>
          <w:szCs w:val="20"/>
        </w:rPr>
        <w:tab/>
      </w:r>
      <w:r w:rsidRPr="00856C7C">
        <w:rPr>
          <w:color w:val="000000" w:themeColor="text1"/>
          <w:sz w:val="20"/>
          <w:szCs w:val="20"/>
        </w:rPr>
        <w:tab/>
        <w:t xml:space="preserve">Further, the GTIPL vide </w:t>
      </w:r>
      <w:r w:rsidR="007452E1" w:rsidRPr="00856C7C">
        <w:rPr>
          <w:color w:val="000000" w:themeColor="text1"/>
          <w:sz w:val="20"/>
          <w:szCs w:val="20"/>
        </w:rPr>
        <w:t>its email dated 19 August 2020</w:t>
      </w:r>
      <w:r w:rsidRPr="00856C7C">
        <w:rPr>
          <w:color w:val="000000" w:themeColor="text1"/>
          <w:sz w:val="20"/>
          <w:szCs w:val="20"/>
        </w:rPr>
        <w:t xml:space="preserve"> has furnished the revised Scale of rates, considering the revised rates as brought out para 3.1. (iv) above.</w:t>
      </w:r>
    </w:p>
    <w:p w:rsidR="00BA3F2B" w:rsidRPr="00856C7C" w:rsidRDefault="00EA5148" w:rsidP="00856C7C">
      <w:pPr>
        <w:contextualSpacing/>
        <w:jc w:val="both"/>
        <w:rPr>
          <w:sz w:val="20"/>
          <w:szCs w:val="20"/>
        </w:rPr>
      </w:pPr>
      <w:r w:rsidRPr="00856C7C">
        <w:rPr>
          <w:sz w:val="20"/>
          <w:szCs w:val="20"/>
        </w:rPr>
        <w:lastRenderedPageBreak/>
        <w:t>4.</w:t>
      </w:r>
      <w:r w:rsidR="00022CB3" w:rsidRPr="00856C7C">
        <w:rPr>
          <w:sz w:val="20"/>
          <w:szCs w:val="20"/>
        </w:rPr>
        <w:t>1.</w:t>
      </w:r>
      <w:r w:rsidRPr="00856C7C">
        <w:rPr>
          <w:sz w:val="20"/>
          <w:szCs w:val="20"/>
        </w:rPr>
        <w:tab/>
      </w:r>
      <w:r w:rsidRPr="00856C7C">
        <w:rPr>
          <w:sz w:val="20"/>
          <w:szCs w:val="20"/>
        </w:rPr>
        <w:tab/>
        <w:t xml:space="preserve">In accordance with the consultative procedure prescribed, the proposal of GTIPL dated 17 July 2020 was forwarded to the Licensor Port (JNPT) and concerned users/ user organisations seeking their comments. </w:t>
      </w:r>
      <w:r w:rsidR="00022CB3" w:rsidRPr="00856C7C">
        <w:rPr>
          <w:sz w:val="20"/>
          <w:szCs w:val="20"/>
        </w:rPr>
        <w:t>No</w:t>
      </w:r>
      <w:r w:rsidR="003D2C92" w:rsidRPr="00856C7C">
        <w:rPr>
          <w:sz w:val="20"/>
          <w:szCs w:val="20"/>
        </w:rPr>
        <w:t xml:space="preserve">ne of the </w:t>
      </w:r>
      <w:r w:rsidRPr="00856C7C">
        <w:rPr>
          <w:color w:val="000000" w:themeColor="text1"/>
          <w:sz w:val="20"/>
          <w:szCs w:val="20"/>
        </w:rPr>
        <w:t xml:space="preserve">users/ user organisations have furnished their comments till the case was </w:t>
      </w:r>
      <w:r w:rsidR="003D2C92" w:rsidRPr="00856C7C">
        <w:rPr>
          <w:color w:val="000000" w:themeColor="text1"/>
          <w:sz w:val="20"/>
          <w:szCs w:val="20"/>
        </w:rPr>
        <w:t xml:space="preserve">finalized. </w:t>
      </w:r>
    </w:p>
    <w:p w:rsidR="003E1B39" w:rsidRPr="00856C7C" w:rsidRDefault="003E1B39" w:rsidP="00856C7C">
      <w:pPr>
        <w:contextualSpacing/>
        <w:jc w:val="both"/>
        <w:rPr>
          <w:sz w:val="20"/>
          <w:szCs w:val="20"/>
        </w:rPr>
      </w:pPr>
    </w:p>
    <w:p w:rsidR="00BA3F2B" w:rsidRPr="00856C7C" w:rsidRDefault="00022CB3" w:rsidP="00856C7C">
      <w:pPr>
        <w:contextualSpacing/>
        <w:jc w:val="both"/>
        <w:rPr>
          <w:color w:val="000000" w:themeColor="text1"/>
          <w:sz w:val="20"/>
          <w:szCs w:val="20"/>
        </w:rPr>
      </w:pPr>
      <w:r w:rsidRPr="00856C7C">
        <w:rPr>
          <w:color w:val="000000" w:themeColor="text1"/>
          <w:sz w:val="20"/>
          <w:szCs w:val="20"/>
        </w:rPr>
        <w:t>4.2.</w:t>
      </w:r>
      <w:r w:rsidRPr="00856C7C">
        <w:rPr>
          <w:color w:val="000000" w:themeColor="text1"/>
          <w:sz w:val="20"/>
          <w:szCs w:val="20"/>
        </w:rPr>
        <w:tab/>
      </w:r>
      <w:r w:rsidRPr="00856C7C">
        <w:rPr>
          <w:color w:val="000000" w:themeColor="text1"/>
          <w:sz w:val="20"/>
          <w:szCs w:val="20"/>
        </w:rPr>
        <w:tab/>
        <w:t xml:space="preserve">The </w:t>
      </w:r>
      <w:r w:rsidR="003D2C92" w:rsidRPr="00856C7C">
        <w:rPr>
          <w:color w:val="000000" w:themeColor="text1"/>
          <w:sz w:val="20"/>
          <w:szCs w:val="20"/>
        </w:rPr>
        <w:t xml:space="preserve">JNPT vide its e-mail dated 14 October 2020 has conveyed </w:t>
      </w:r>
      <w:r w:rsidRPr="00856C7C">
        <w:rPr>
          <w:color w:val="000000" w:themeColor="text1"/>
          <w:sz w:val="20"/>
          <w:szCs w:val="20"/>
        </w:rPr>
        <w:t>that</w:t>
      </w:r>
      <w:r w:rsidR="003D2C92" w:rsidRPr="00856C7C">
        <w:rPr>
          <w:color w:val="000000" w:themeColor="text1"/>
          <w:sz w:val="20"/>
          <w:szCs w:val="20"/>
        </w:rPr>
        <w:t xml:space="preserve"> the </w:t>
      </w:r>
      <w:r w:rsidRPr="00856C7C">
        <w:rPr>
          <w:color w:val="000000" w:themeColor="text1"/>
          <w:sz w:val="20"/>
          <w:szCs w:val="20"/>
        </w:rPr>
        <w:t xml:space="preserve">Estate related SOR of JNPT has been implemented w.e.f. 18 July 2020 based on the Gazette Notification No. 219 dated 18 June 2020 issued by TAMP. Estate tariff levied to M/s. GTIPL for revision of its SOR to the extent of upward revision of Estate Lease Rentals by JNPT, may be considered as per Tariff Guidelines 2019 and after taking due consideration </w:t>
      </w:r>
      <w:r w:rsidR="003D2C92" w:rsidRPr="00856C7C">
        <w:rPr>
          <w:color w:val="000000" w:themeColor="text1"/>
          <w:sz w:val="20"/>
          <w:szCs w:val="20"/>
        </w:rPr>
        <w:t xml:space="preserve">of </w:t>
      </w:r>
      <w:r w:rsidRPr="00856C7C">
        <w:rPr>
          <w:color w:val="000000" w:themeColor="text1"/>
          <w:sz w:val="20"/>
          <w:szCs w:val="20"/>
        </w:rPr>
        <w:t>the interest of other stakeholders.</w:t>
      </w:r>
    </w:p>
    <w:p w:rsidR="007A1B45" w:rsidRPr="00856C7C" w:rsidRDefault="007A1B45" w:rsidP="00856C7C">
      <w:pPr>
        <w:contextualSpacing/>
        <w:jc w:val="both"/>
        <w:rPr>
          <w:color w:val="000000" w:themeColor="text1"/>
          <w:sz w:val="20"/>
          <w:szCs w:val="20"/>
        </w:rPr>
      </w:pPr>
    </w:p>
    <w:p w:rsidR="00B70E0B" w:rsidRPr="00856C7C" w:rsidRDefault="00022CB3" w:rsidP="00856C7C">
      <w:pPr>
        <w:autoSpaceDE w:val="0"/>
        <w:autoSpaceDN w:val="0"/>
        <w:adjustRightInd w:val="0"/>
        <w:contextualSpacing/>
        <w:jc w:val="both"/>
        <w:rPr>
          <w:sz w:val="20"/>
          <w:szCs w:val="20"/>
        </w:rPr>
      </w:pPr>
      <w:r w:rsidRPr="00856C7C">
        <w:rPr>
          <w:sz w:val="20"/>
          <w:szCs w:val="20"/>
        </w:rPr>
        <w:t>5</w:t>
      </w:r>
      <w:r w:rsidR="00B70E0B" w:rsidRPr="00856C7C">
        <w:rPr>
          <w:sz w:val="20"/>
          <w:szCs w:val="20"/>
        </w:rPr>
        <w:t>.</w:t>
      </w:r>
      <w:r w:rsidR="00B70E0B" w:rsidRPr="00856C7C">
        <w:rPr>
          <w:sz w:val="20"/>
          <w:szCs w:val="20"/>
        </w:rPr>
        <w:tab/>
      </w:r>
      <w:r w:rsidR="00B70E0B" w:rsidRPr="00856C7C">
        <w:rPr>
          <w:sz w:val="20"/>
          <w:szCs w:val="20"/>
        </w:rPr>
        <w:tab/>
      </w:r>
      <w:r w:rsidR="00493E61" w:rsidRPr="00856C7C">
        <w:rPr>
          <w:sz w:val="20"/>
          <w:szCs w:val="20"/>
        </w:rPr>
        <w:t xml:space="preserve">In view of the outbreak of COVID-19 and in pursuance of the Ministry of Shipping (MOS) letter no. 11053/30/2020-Coord dated 11 April 2020, a </w:t>
      </w:r>
      <w:r w:rsidR="00B70E0B" w:rsidRPr="00856C7C">
        <w:rPr>
          <w:sz w:val="20"/>
          <w:szCs w:val="20"/>
        </w:rPr>
        <w:t xml:space="preserve">joint hearing in this case was held on </w:t>
      </w:r>
      <w:r w:rsidRPr="00856C7C">
        <w:rPr>
          <w:sz w:val="20"/>
          <w:szCs w:val="20"/>
        </w:rPr>
        <w:t>16 September 2020 through Video Conferencing</w:t>
      </w:r>
      <w:r w:rsidR="00B70E0B" w:rsidRPr="00856C7C">
        <w:rPr>
          <w:sz w:val="20"/>
          <w:szCs w:val="20"/>
        </w:rPr>
        <w:t xml:space="preserve">. At the joint hearing, the </w:t>
      </w:r>
      <w:r w:rsidRPr="00856C7C">
        <w:rPr>
          <w:sz w:val="20"/>
          <w:szCs w:val="20"/>
        </w:rPr>
        <w:t xml:space="preserve">GTIPL, JNPT and users/ user organisations have made </w:t>
      </w:r>
      <w:r w:rsidR="00B70E0B" w:rsidRPr="00856C7C">
        <w:rPr>
          <w:sz w:val="20"/>
          <w:szCs w:val="20"/>
        </w:rPr>
        <w:t>the</w:t>
      </w:r>
      <w:r w:rsidR="00184229" w:rsidRPr="00856C7C">
        <w:rPr>
          <w:sz w:val="20"/>
          <w:szCs w:val="20"/>
        </w:rPr>
        <w:t xml:space="preserve">ir </w:t>
      </w:r>
      <w:r w:rsidR="00B70E0B" w:rsidRPr="00856C7C">
        <w:rPr>
          <w:sz w:val="20"/>
          <w:szCs w:val="20"/>
        </w:rPr>
        <w:t>submissions at the joint hearing.</w:t>
      </w:r>
    </w:p>
    <w:p w:rsidR="00B70E0B" w:rsidRPr="00856C7C" w:rsidRDefault="00B70E0B" w:rsidP="00856C7C">
      <w:pPr>
        <w:contextualSpacing/>
        <w:jc w:val="both"/>
        <w:rPr>
          <w:sz w:val="20"/>
          <w:szCs w:val="20"/>
        </w:rPr>
      </w:pPr>
    </w:p>
    <w:p w:rsidR="0074701B" w:rsidRPr="00856C7C" w:rsidRDefault="00AE27D5" w:rsidP="00856C7C">
      <w:pPr>
        <w:contextualSpacing/>
        <w:jc w:val="both"/>
        <w:rPr>
          <w:sz w:val="20"/>
          <w:szCs w:val="20"/>
        </w:rPr>
      </w:pPr>
      <w:r w:rsidRPr="00856C7C">
        <w:rPr>
          <w:sz w:val="20"/>
          <w:szCs w:val="20"/>
        </w:rPr>
        <w:t>6</w:t>
      </w:r>
      <w:r w:rsidR="0074701B" w:rsidRPr="00856C7C">
        <w:rPr>
          <w:sz w:val="20"/>
          <w:szCs w:val="20"/>
        </w:rPr>
        <w:t>.</w:t>
      </w:r>
      <w:r w:rsidR="0074701B" w:rsidRPr="00856C7C">
        <w:rPr>
          <w:sz w:val="20"/>
          <w:szCs w:val="20"/>
        </w:rPr>
        <w:tab/>
      </w:r>
      <w:r w:rsidR="0074701B" w:rsidRPr="00856C7C">
        <w:rPr>
          <w:sz w:val="20"/>
          <w:szCs w:val="20"/>
        </w:rPr>
        <w:tab/>
        <w:t xml:space="preserve">The proceedings relating to consultation in this case are available on records at the office of this Authority.  An excerpt of the comments received and arguments made by the concerned parties will be sent separately to the relevant parties. These details will also be made available at our website </w:t>
      </w:r>
      <w:hyperlink r:id="rId9" w:history="1">
        <w:r w:rsidR="0074701B" w:rsidRPr="00856C7C">
          <w:rPr>
            <w:rStyle w:val="Hyperlink"/>
            <w:sz w:val="20"/>
            <w:szCs w:val="20"/>
          </w:rPr>
          <w:t>http://tariffauthority.gov.in</w:t>
        </w:r>
      </w:hyperlink>
      <w:r w:rsidR="0074701B" w:rsidRPr="00856C7C">
        <w:rPr>
          <w:sz w:val="20"/>
          <w:szCs w:val="20"/>
        </w:rPr>
        <w:t>.</w:t>
      </w:r>
    </w:p>
    <w:p w:rsidR="0074701B" w:rsidRPr="00856C7C" w:rsidRDefault="0074701B" w:rsidP="00856C7C">
      <w:pPr>
        <w:pStyle w:val="NoSpacing"/>
        <w:contextualSpacing/>
        <w:jc w:val="both"/>
        <w:rPr>
          <w:bCs/>
          <w:dstrike w:val="0"/>
          <w:sz w:val="20"/>
          <w:szCs w:val="20"/>
        </w:rPr>
      </w:pPr>
    </w:p>
    <w:p w:rsidR="00654307" w:rsidRPr="00856C7C" w:rsidRDefault="00AE27D5" w:rsidP="00856C7C">
      <w:pPr>
        <w:pStyle w:val="NoSpacing"/>
        <w:contextualSpacing/>
        <w:jc w:val="both"/>
        <w:rPr>
          <w:bCs/>
          <w:dstrike w:val="0"/>
          <w:sz w:val="20"/>
          <w:szCs w:val="20"/>
        </w:rPr>
      </w:pPr>
      <w:r w:rsidRPr="00856C7C">
        <w:rPr>
          <w:bCs/>
          <w:dstrike w:val="0"/>
          <w:sz w:val="20"/>
          <w:szCs w:val="20"/>
        </w:rPr>
        <w:t>7</w:t>
      </w:r>
      <w:r w:rsidR="00654307" w:rsidRPr="00856C7C">
        <w:rPr>
          <w:bCs/>
          <w:dstrike w:val="0"/>
          <w:sz w:val="20"/>
          <w:szCs w:val="20"/>
        </w:rPr>
        <w:t>.</w:t>
      </w:r>
      <w:r w:rsidR="00654307" w:rsidRPr="00856C7C">
        <w:rPr>
          <w:bCs/>
          <w:dstrike w:val="0"/>
          <w:sz w:val="20"/>
          <w:szCs w:val="20"/>
        </w:rPr>
        <w:tab/>
      </w:r>
      <w:r w:rsidR="00654307" w:rsidRPr="00856C7C">
        <w:rPr>
          <w:bCs/>
          <w:dstrike w:val="0"/>
          <w:sz w:val="20"/>
          <w:szCs w:val="20"/>
        </w:rPr>
        <w:tab/>
        <w:t>With reference to the totality of the information collec</w:t>
      </w:r>
      <w:r w:rsidR="0074701B" w:rsidRPr="00856C7C">
        <w:rPr>
          <w:bCs/>
          <w:dstrike w:val="0"/>
          <w:sz w:val="20"/>
          <w:szCs w:val="20"/>
        </w:rPr>
        <w:t>ted during the processing of this</w:t>
      </w:r>
      <w:r w:rsidR="00654307" w:rsidRPr="00856C7C">
        <w:rPr>
          <w:bCs/>
          <w:dstrike w:val="0"/>
          <w:sz w:val="20"/>
          <w:szCs w:val="20"/>
        </w:rPr>
        <w:t xml:space="preserve"> case, the following position emerges:</w:t>
      </w:r>
    </w:p>
    <w:p w:rsidR="00654307" w:rsidRPr="00856C7C" w:rsidRDefault="00654307" w:rsidP="00856C7C">
      <w:pPr>
        <w:pStyle w:val="NoSpacing"/>
        <w:contextualSpacing/>
        <w:jc w:val="both"/>
        <w:rPr>
          <w:bCs/>
          <w:dstrike w:val="0"/>
          <w:sz w:val="20"/>
          <w:szCs w:val="20"/>
        </w:rPr>
      </w:pPr>
    </w:p>
    <w:p w:rsidR="00AE27D5" w:rsidRPr="00856C7C" w:rsidRDefault="00AE27D5" w:rsidP="00856C7C">
      <w:pPr>
        <w:tabs>
          <w:tab w:val="left" w:pos="720"/>
        </w:tabs>
        <w:ind w:left="1440" w:hanging="1440"/>
        <w:contextualSpacing/>
        <w:jc w:val="both"/>
        <w:rPr>
          <w:sz w:val="20"/>
          <w:szCs w:val="20"/>
        </w:rPr>
      </w:pPr>
      <w:r w:rsidRPr="00856C7C">
        <w:rPr>
          <w:sz w:val="20"/>
          <w:szCs w:val="20"/>
        </w:rPr>
        <w:tab/>
        <w:t>(i).</w:t>
      </w:r>
      <w:r w:rsidRPr="00856C7C">
        <w:rPr>
          <w:sz w:val="20"/>
          <w:szCs w:val="20"/>
        </w:rPr>
        <w:tab/>
        <w:t xml:space="preserve">Based on a proposal filed by the tariff of Gateway Terminal India Private Limited (GTIPL), the tariff of GTIPL was last revised vide Order dated 20 February 2020, based on the stipulations contained in the Tariff Guidelines, 2019. The said tariff has come into effect since 02 April 2020 and will be in force upto 01 April 2023.  </w:t>
      </w:r>
    </w:p>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s>
        <w:ind w:left="1440" w:hanging="1440"/>
        <w:contextualSpacing/>
        <w:jc w:val="both"/>
        <w:rPr>
          <w:sz w:val="20"/>
          <w:szCs w:val="20"/>
        </w:rPr>
      </w:pPr>
      <w:r w:rsidRPr="00856C7C">
        <w:rPr>
          <w:sz w:val="20"/>
          <w:szCs w:val="20"/>
        </w:rPr>
        <w:tab/>
      </w:r>
      <w:r w:rsidRPr="00856C7C">
        <w:rPr>
          <w:sz w:val="20"/>
          <w:szCs w:val="20"/>
        </w:rPr>
        <w:tab/>
        <w:t xml:space="preserve">As stipulated in Clause 2.1 of the Tariff Guidelines, 2019, the </w:t>
      </w:r>
      <w:r w:rsidRPr="00856C7C">
        <w:rPr>
          <w:bCs w:val="0"/>
          <w:sz w:val="20"/>
          <w:szCs w:val="20"/>
          <w:lang w:val="en-GB"/>
        </w:rPr>
        <w:t xml:space="preserve">Annual Revenue Requirement (ARR), which formed the base to decide the </w:t>
      </w:r>
      <w:r w:rsidRPr="00856C7C">
        <w:rPr>
          <w:sz w:val="20"/>
          <w:szCs w:val="20"/>
        </w:rPr>
        <w:t xml:space="preserve">tariff to be levied by GTIPL during the period from 2020-21 to 2022-23, was based on the </w:t>
      </w:r>
      <w:r w:rsidRPr="00856C7C">
        <w:rPr>
          <w:bCs w:val="0"/>
          <w:sz w:val="20"/>
          <w:szCs w:val="20"/>
          <w:lang w:val="en-GB"/>
        </w:rPr>
        <w:t xml:space="preserve">average actual expenditure incurred by </w:t>
      </w:r>
      <w:r w:rsidRPr="00856C7C">
        <w:rPr>
          <w:sz w:val="20"/>
          <w:szCs w:val="20"/>
        </w:rPr>
        <w:t>GTIPL during the years 2016-17 to 2018-19, based on the audited annual accounts for the respective years. One of the components of expenditure considered while determining the ARR of GTIPL was the lease rent paid by GTIPL to the Licensor port, Jawaharlal Nehru Port Trust (JNPT) during the years 2016-17 to 2018-19.</w:t>
      </w:r>
    </w:p>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s>
        <w:ind w:left="1440" w:hanging="1440"/>
        <w:contextualSpacing/>
        <w:jc w:val="both"/>
        <w:rPr>
          <w:sz w:val="20"/>
          <w:szCs w:val="20"/>
        </w:rPr>
      </w:pPr>
      <w:r w:rsidRPr="00856C7C">
        <w:rPr>
          <w:sz w:val="20"/>
          <w:szCs w:val="20"/>
        </w:rPr>
        <w:tab/>
      </w:r>
      <w:r w:rsidRPr="00856C7C">
        <w:rPr>
          <w:sz w:val="20"/>
          <w:szCs w:val="20"/>
        </w:rPr>
        <w:tab/>
        <w:t>Incidentally, based on a sepa</w:t>
      </w:r>
      <w:r w:rsidR="00CE3019" w:rsidRPr="00856C7C">
        <w:rPr>
          <w:sz w:val="20"/>
          <w:szCs w:val="20"/>
        </w:rPr>
        <w:t>rate proposal filed by JNPT, this</w:t>
      </w:r>
      <w:r w:rsidRPr="00856C7C">
        <w:rPr>
          <w:sz w:val="20"/>
          <w:szCs w:val="20"/>
        </w:rPr>
        <w:t xml:space="preserve"> Authority vide its Order no. TAMP/44/2019-JNPT dated 01 June 2020 has fixed the Scale of Rates for the Estate of JNPT. This Order has come into effect after expiry of 30 days from the date of notification of the Order in the Gazette of India i.e. from 18 July 2020 and will be in force for a period of five years till 17 July 2025. Whereas the SOR of GTIPL was approved in February 2020 prior to June 2020. </w:t>
      </w:r>
    </w:p>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s>
        <w:ind w:left="1440" w:hanging="1440"/>
        <w:contextualSpacing/>
        <w:jc w:val="both"/>
        <w:rPr>
          <w:sz w:val="20"/>
          <w:szCs w:val="20"/>
        </w:rPr>
      </w:pPr>
      <w:r w:rsidRPr="00856C7C">
        <w:rPr>
          <w:sz w:val="20"/>
          <w:szCs w:val="20"/>
        </w:rPr>
        <w:tab/>
      </w:r>
      <w:r w:rsidRPr="00856C7C">
        <w:rPr>
          <w:sz w:val="20"/>
          <w:szCs w:val="20"/>
        </w:rPr>
        <w:tab/>
        <w:t xml:space="preserve">Since the JNPT has allotted land to GTIPL, the increase in the Scale of Rates for the Estate of JNPT will lead to a definite and increased outflow for GTIPL in the form of additional lease rent, which is to be paid by GTIPL to JNPT from 18 July 2020 onwards. Given that the impact of the increased lease rent during the tariff cycle 2020-21 to 2022-23 is definite and has not been captured in the ARR </w:t>
      </w:r>
      <w:r w:rsidRPr="00856C7C">
        <w:rPr>
          <w:bCs w:val="0"/>
          <w:sz w:val="20"/>
          <w:szCs w:val="20"/>
          <w:lang w:val="en-GB"/>
        </w:rPr>
        <w:t xml:space="preserve">which formed the base to decide the </w:t>
      </w:r>
      <w:r w:rsidRPr="00856C7C">
        <w:rPr>
          <w:sz w:val="20"/>
          <w:szCs w:val="20"/>
        </w:rPr>
        <w:t>tariff to be levied by GTIPL during the period from 2020-21 to 2022-23, the GTIPL has come up with a proposal so as to capture the impact of the additional lease rent, payable by it to JNPT during the tariff cycle 2020-21 to 2022-23, and thereby recover the additional cost by way of increase in some of its tariff items during the tariff cycle 2020-21 to 2022-23.</w:t>
      </w:r>
    </w:p>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s>
        <w:ind w:left="1440" w:hanging="1440"/>
        <w:contextualSpacing/>
        <w:jc w:val="both"/>
        <w:rPr>
          <w:sz w:val="20"/>
          <w:szCs w:val="20"/>
        </w:rPr>
      </w:pPr>
      <w:r w:rsidRPr="00856C7C">
        <w:rPr>
          <w:sz w:val="20"/>
          <w:szCs w:val="20"/>
        </w:rPr>
        <w:tab/>
        <w:t>(ii).</w:t>
      </w:r>
      <w:r w:rsidRPr="00856C7C">
        <w:rPr>
          <w:sz w:val="20"/>
          <w:szCs w:val="20"/>
        </w:rPr>
        <w:tab/>
        <w:t>As brought out above, as per the stipulation contained in Clause 2.1 of the Tariff Guidelines, 2019, the actual expenditure incurred by the BOT operator during the past 3 years is to be considered to determine the tariff for the future</w:t>
      </w:r>
      <w:r w:rsidR="00CE3019" w:rsidRPr="00856C7C">
        <w:rPr>
          <w:sz w:val="20"/>
          <w:szCs w:val="20"/>
        </w:rPr>
        <w:t xml:space="preserve"> 3 years. Accordingly, it is</w:t>
      </w:r>
      <w:r w:rsidRPr="00856C7C">
        <w:rPr>
          <w:sz w:val="20"/>
          <w:szCs w:val="20"/>
        </w:rPr>
        <w:t xml:space="preserve"> recalled that </w:t>
      </w:r>
      <w:r w:rsidR="00257709" w:rsidRPr="00856C7C">
        <w:rPr>
          <w:sz w:val="20"/>
          <w:szCs w:val="20"/>
        </w:rPr>
        <w:t xml:space="preserve">while revising the tariff of GTIPL vide Order of February 2020 </w:t>
      </w:r>
      <w:r w:rsidRPr="00856C7C">
        <w:rPr>
          <w:sz w:val="20"/>
          <w:szCs w:val="20"/>
        </w:rPr>
        <w:t xml:space="preserve">the ARR was assessed at </w:t>
      </w:r>
      <w:r w:rsidRPr="00856C7C">
        <w:rPr>
          <w:rFonts w:ascii="Rupee Foradian" w:hAnsi="Rupee Foradian"/>
          <w:sz w:val="20"/>
          <w:szCs w:val="20"/>
        </w:rPr>
        <w:t>`</w:t>
      </w:r>
      <w:r w:rsidRPr="00856C7C">
        <w:rPr>
          <w:sz w:val="20"/>
          <w:szCs w:val="20"/>
        </w:rPr>
        <w:t xml:space="preserve"> 651.78 crores. The revised Scale of Rates approved vide the said Order was fixed in such a manner so as to enable the GTIPL earn an annual revenue of </w:t>
      </w:r>
      <w:r w:rsidRPr="00856C7C">
        <w:rPr>
          <w:rFonts w:ascii="Rupee Foradian" w:hAnsi="Rupee Foradian"/>
          <w:sz w:val="20"/>
          <w:szCs w:val="20"/>
        </w:rPr>
        <w:t>`</w:t>
      </w:r>
      <w:r w:rsidRPr="00856C7C">
        <w:rPr>
          <w:sz w:val="20"/>
          <w:szCs w:val="20"/>
        </w:rPr>
        <w:t xml:space="preserve"> 651.78 crores during each of the years 2020-21 to 2022-23, from the various tariff items listed in the SOR of GTIPL. The actual expenditure considered to determine the ARR of GTIPL to the tune of </w:t>
      </w:r>
      <w:r w:rsidRPr="00856C7C">
        <w:rPr>
          <w:rFonts w:ascii="Rupee Foradian" w:hAnsi="Rupee Foradian"/>
          <w:sz w:val="20"/>
          <w:szCs w:val="20"/>
        </w:rPr>
        <w:t>`</w:t>
      </w:r>
      <w:r w:rsidRPr="00856C7C">
        <w:rPr>
          <w:sz w:val="20"/>
          <w:szCs w:val="20"/>
        </w:rPr>
        <w:t xml:space="preserve"> 651.78 crores, does not capture the increased lease rentals of </w:t>
      </w:r>
      <w:r w:rsidRPr="00856C7C">
        <w:rPr>
          <w:rFonts w:ascii="Rupee Foradian" w:hAnsi="Rupee Foradian"/>
          <w:sz w:val="20"/>
          <w:szCs w:val="20"/>
        </w:rPr>
        <w:t>`</w:t>
      </w:r>
      <w:r w:rsidRPr="00856C7C">
        <w:rPr>
          <w:sz w:val="20"/>
          <w:szCs w:val="20"/>
        </w:rPr>
        <w:t xml:space="preserve"> 10.99 crores, which the GTIPL is bound to pay to JNPT with effect from 18 July 2020, as per the revised estate rentals of JNPT and as per the provisions </w:t>
      </w:r>
      <w:r w:rsidRPr="00856C7C">
        <w:rPr>
          <w:sz w:val="20"/>
          <w:szCs w:val="20"/>
        </w:rPr>
        <w:lastRenderedPageBreak/>
        <w:t xml:space="preserve">of the Licence Agreement entered by GTIPL with JNPT. Thus, the revenue, estimated to be earned by GTIPL during the years 2020-21 to 2022-23 based on the tariff fixed as per the Order of February 2020, will fall short to the tune of </w:t>
      </w:r>
      <w:r w:rsidRPr="00856C7C">
        <w:rPr>
          <w:rFonts w:ascii="Rupee Foradian" w:hAnsi="Rupee Foradian"/>
          <w:sz w:val="20"/>
          <w:szCs w:val="20"/>
        </w:rPr>
        <w:t>`</w:t>
      </w:r>
      <w:r w:rsidRPr="00856C7C">
        <w:rPr>
          <w:sz w:val="20"/>
          <w:szCs w:val="20"/>
        </w:rPr>
        <w:t xml:space="preserve"> 10.99 crores per annum, as the rates fixed for GTIPL to enable the GTIPL earn an annual revenue of </w:t>
      </w:r>
      <w:r w:rsidRPr="00856C7C">
        <w:rPr>
          <w:rFonts w:ascii="Rupee Foradian" w:hAnsi="Rupee Foradian"/>
          <w:sz w:val="20"/>
          <w:szCs w:val="20"/>
        </w:rPr>
        <w:t>`</w:t>
      </w:r>
      <w:r w:rsidRPr="00856C7C">
        <w:rPr>
          <w:sz w:val="20"/>
          <w:szCs w:val="20"/>
        </w:rPr>
        <w:t xml:space="preserve"> 651.78 crores during the years 2020-21 to 2022-23, is exclusive of increased lease rentals </w:t>
      </w:r>
      <w:r w:rsidRPr="00856C7C">
        <w:rPr>
          <w:rFonts w:ascii="Rupee Foradian" w:hAnsi="Rupee Foradian"/>
          <w:sz w:val="20"/>
          <w:szCs w:val="20"/>
        </w:rPr>
        <w:t>`</w:t>
      </w:r>
      <w:r w:rsidRPr="00856C7C">
        <w:rPr>
          <w:sz w:val="20"/>
          <w:szCs w:val="20"/>
        </w:rPr>
        <w:t xml:space="preserve"> 10.99 crores per annum.</w:t>
      </w:r>
    </w:p>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s>
        <w:ind w:left="1440" w:hanging="1440"/>
        <w:contextualSpacing/>
        <w:jc w:val="both"/>
        <w:rPr>
          <w:sz w:val="20"/>
          <w:szCs w:val="20"/>
        </w:rPr>
      </w:pPr>
      <w:r w:rsidRPr="00856C7C">
        <w:rPr>
          <w:sz w:val="20"/>
          <w:szCs w:val="20"/>
        </w:rPr>
        <w:tab/>
        <w:t>(iii).</w:t>
      </w:r>
      <w:r w:rsidRPr="00856C7C">
        <w:rPr>
          <w:sz w:val="20"/>
          <w:szCs w:val="20"/>
        </w:rPr>
        <w:tab/>
        <w:t>Clause 2.14 of the Tariff Guidelines, 2019, stipulates that for good and sufficie</w:t>
      </w:r>
      <w:r w:rsidR="00CE3019" w:rsidRPr="00856C7C">
        <w:rPr>
          <w:sz w:val="20"/>
          <w:szCs w:val="20"/>
        </w:rPr>
        <w:t xml:space="preserve">nt reasons, the BOT operator </w:t>
      </w:r>
      <w:r w:rsidR="00257709" w:rsidRPr="00856C7C">
        <w:rPr>
          <w:sz w:val="20"/>
          <w:szCs w:val="20"/>
        </w:rPr>
        <w:t>may</w:t>
      </w:r>
      <w:r w:rsidRPr="00856C7C">
        <w:rPr>
          <w:sz w:val="20"/>
          <w:szCs w:val="20"/>
        </w:rPr>
        <w:t xml:space="preserve"> propose revision ahead-of-schedule either for general revision or partial revision of its SOR. The increase in the Estate Rental of JNPT would lead to an increase in expenses of GTIPL; it is a good and sufficient reason. The Licensor port (JNPT) has also acknowledged that the proposal of GTIPL is based on the increased lease rentals of JNPT. Therefore,</w:t>
      </w:r>
      <w:r w:rsidR="00CE3019" w:rsidRPr="00856C7C">
        <w:rPr>
          <w:sz w:val="20"/>
          <w:szCs w:val="20"/>
        </w:rPr>
        <w:t xml:space="preserve"> this Authority is</w:t>
      </w:r>
      <w:r w:rsidRPr="00856C7C">
        <w:rPr>
          <w:sz w:val="20"/>
          <w:szCs w:val="20"/>
        </w:rPr>
        <w:t xml:space="preserve"> inclined to consider the review proposal for revision of its SOR as filed by GTIPL, in accordance with Clause 2.14 of the Tariff Guidelines, 2019. </w:t>
      </w:r>
    </w:p>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s>
        <w:ind w:left="1440" w:hanging="1440"/>
        <w:contextualSpacing/>
        <w:jc w:val="both"/>
        <w:rPr>
          <w:sz w:val="20"/>
          <w:szCs w:val="20"/>
        </w:rPr>
      </w:pPr>
      <w:r w:rsidRPr="00856C7C">
        <w:rPr>
          <w:sz w:val="20"/>
          <w:szCs w:val="20"/>
        </w:rPr>
        <w:tab/>
        <w:t>(iv).</w:t>
      </w:r>
      <w:r w:rsidRPr="00856C7C">
        <w:rPr>
          <w:sz w:val="20"/>
          <w:szCs w:val="20"/>
        </w:rPr>
        <w:tab/>
        <w:t xml:space="preserve">The GTIPL has furnished detailed workings to establish that the increase in the lease rentals of JNPT will lead to an additional expenditure to GTIPL to the tune of </w:t>
      </w:r>
      <w:r w:rsidRPr="00856C7C">
        <w:rPr>
          <w:rFonts w:ascii="Rupee Foradian" w:hAnsi="Rupee Foradian"/>
          <w:sz w:val="20"/>
          <w:szCs w:val="20"/>
        </w:rPr>
        <w:t>`</w:t>
      </w:r>
      <w:r w:rsidRPr="00856C7C">
        <w:rPr>
          <w:sz w:val="20"/>
          <w:szCs w:val="20"/>
        </w:rPr>
        <w:t xml:space="preserve"> 10.99 crores. The rates for lease rent for various types of land and the area of various types of land as considered by GTIPL in its calculations are seen to be in order. </w:t>
      </w:r>
    </w:p>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s>
        <w:ind w:left="1440" w:hanging="1440"/>
        <w:contextualSpacing/>
        <w:jc w:val="both"/>
        <w:rPr>
          <w:sz w:val="20"/>
          <w:szCs w:val="20"/>
        </w:rPr>
      </w:pPr>
      <w:r w:rsidRPr="00856C7C">
        <w:rPr>
          <w:sz w:val="20"/>
          <w:szCs w:val="20"/>
        </w:rPr>
        <w:tab/>
        <w:t>(v).</w:t>
      </w:r>
      <w:r w:rsidRPr="00856C7C">
        <w:rPr>
          <w:sz w:val="20"/>
          <w:szCs w:val="20"/>
        </w:rPr>
        <w:tab/>
        <w:t xml:space="preserve">To meet the increase in its expenditure of the lease rentals, the GTIPL is seen to have proposed increase only in some tariff items viz., handling charges on loaded and empty foreign containers, ranging from 2.85% to 3.44%, so as to generate an additional revenue of </w:t>
      </w:r>
      <w:r w:rsidRPr="00856C7C">
        <w:rPr>
          <w:rFonts w:ascii="Rupee Foradian" w:hAnsi="Rupee Foradian"/>
          <w:sz w:val="20"/>
          <w:szCs w:val="20"/>
        </w:rPr>
        <w:t>`</w:t>
      </w:r>
      <w:r w:rsidRPr="00856C7C">
        <w:rPr>
          <w:sz w:val="20"/>
          <w:szCs w:val="20"/>
        </w:rPr>
        <w:t xml:space="preserve"> 10.99 crores. The overall impact of the proposed increase is an average increase of 3.15% over the indexed tariff of GTIPL prevailing with effect from 01 May 2020.</w:t>
      </w:r>
    </w:p>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s>
        <w:ind w:left="1440" w:hanging="1440"/>
        <w:contextualSpacing/>
        <w:jc w:val="both"/>
        <w:rPr>
          <w:sz w:val="20"/>
          <w:szCs w:val="20"/>
        </w:rPr>
      </w:pPr>
      <w:r w:rsidRPr="00856C7C">
        <w:rPr>
          <w:sz w:val="20"/>
          <w:szCs w:val="20"/>
        </w:rPr>
        <w:tab/>
        <w:t>(vi).</w:t>
      </w:r>
      <w:r w:rsidRPr="00856C7C">
        <w:rPr>
          <w:sz w:val="20"/>
          <w:szCs w:val="20"/>
        </w:rPr>
        <w:tab/>
        <w:t xml:space="preserve">During the joint hearing, the users have objected to the increase in tariff proposed by GTIPL. The Indian Merchants’ Chamber (IMC) has taken a view that considering the huge volumes handled by GTIPL, the impact of </w:t>
      </w:r>
      <w:r w:rsidRPr="00856C7C">
        <w:rPr>
          <w:rFonts w:ascii="Rupee Foradian" w:hAnsi="Rupee Foradian"/>
          <w:sz w:val="20"/>
          <w:szCs w:val="20"/>
        </w:rPr>
        <w:t>`</w:t>
      </w:r>
      <w:r w:rsidRPr="00856C7C">
        <w:rPr>
          <w:sz w:val="20"/>
          <w:szCs w:val="20"/>
        </w:rPr>
        <w:t xml:space="preserve"> 11 crores is insignificant and should be borne by GTIPL itself, without passing it on to the users, by way of increase in tariff. Maritime Association of Nationwide Shipping Agencies-India (MANSA) is of the view that the trade is already suffering due to the COVID-19 pandemic and that any further increase in rates by GTIPL will put the trade in hardship. Thus, it has requested to postpone the increase till the revival of economy. With regard to the submissions made by the users, it is to state that the proposal of GTIPL is within the purview of the stipulations contained in the Tariff Guidelines, 2019, and that the increase in tariff of </w:t>
      </w:r>
      <w:r w:rsidR="00CE3019" w:rsidRPr="00856C7C">
        <w:rPr>
          <w:sz w:val="20"/>
          <w:szCs w:val="20"/>
        </w:rPr>
        <w:t>GTIPL as sought by GTIPL, is</w:t>
      </w:r>
      <w:r w:rsidRPr="00856C7C">
        <w:rPr>
          <w:sz w:val="20"/>
          <w:szCs w:val="20"/>
        </w:rPr>
        <w:t xml:space="preserve"> warranted so as to enable the GTIPL to earn revenue to meet its expenditure and 16% return on capital employed, as stipulated in the Tariff Guidelines, 2019.</w:t>
      </w:r>
    </w:p>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s>
        <w:ind w:left="1440" w:hanging="1440"/>
        <w:contextualSpacing/>
        <w:jc w:val="both"/>
        <w:rPr>
          <w:sz w:val="20"/>
          <w:szCs w:val="20"/>
        </w:rPr>
      </w:pPr>
      <w:r w:rsidRPr="00856C7C">
        <w:rPr>
          <w:sz w:val="20"/>
          <w:szCs w:val="20"/>
        </w:rPr>
        <w:tab/>
      </w:r>
      <w:r w:rsidRPr="00856C7C">
        <w:rPr>
          <w:sz w:val="20"/>
          <w:szCs w:val="20"/>
        </w:rPr>
        <w:tab/>
        <w:t>Further, as stated earlier, the overall impact of tariff revision vide tariff Order dated 20 February 2020 was a reduction of 6.55% from the High Court permitted tariff. The overall impact of the proposed increase is an average increase of 3.15% over the indexed tariff prevailing as of 01 May 2020. Considering the 6.55% reduction and the 3.15% increase, the trade is going to pay less than what it was paying before the tariff Order dated 20 February 2020. In any case, the SOR is at ceiling level; the GTIPL has the flexibility to levy lower rates based on commercial considerations.</w:t>
      </w:r>
    </w:p>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s>
        <w:ind w:left="1440" w:hanging="1440"/>
        <w:contextualSpacing/>
        <w:jc w:val="both"/>
        <w:rPr>
          <w:sz w:val="20"/>
          <w:szCs w:val="20"/>
        </w:rPr>
      </w:pPr>
      <w:r w:rsidRPr="00856C7C">
        <w:rPr>
          <w:sz w:val="20"/>
          <w:szCs w:val="20"/>
        </w:rPr>
        <w:tab/>
        <w:t>(vii).</w:t>
      </w:r>
      <w:r w:rsidRPr="00856C7C">
        <w:rPr>
          <w:sz w:val="20"/>
          <w:szCs w:val="20"/>
        </w:rPr>
        <w:tab/>
        <w:t xml:space="preserve">Thus, based on the submissions made by GTIPL in its proposal and the submissions of JNPT and considering that Clause 2.14 of the Tariff Guidelines, 2019, provides for an ahead-of-schedule partial revision of its SOR, for </w:t>
      </w:r>
      <w:r w:rsidR="00CE3019" w:rsidRPr="00856C7C">
        <w:rPr>
          <w:sz w:val="20"/>
          <w:szCs w:val="20"/>
        </w:rPr>
        <w:t>good and sufficient reasons, this</w:t>
      </w:r>
      <w:r w:rsidRPr="00856C7C">
        <w:rPr>
          <w:sz w:val="20"/>
          <w:szCs w:val="20"/>
        </w:rPr>
        <w:t xml:space="preserve"> </w:t>
      </w:r>
      <w:r w:rsidR="00CE3019" w:rsidRPr="00856C7C">
        <w:rPr>
          <w:sz w:val="20"/>
          <w:szCs w:val="20"/>
        </w:rPr>
        <w:t>Authority is</w:t>
      </w:r>
      <w:r w:rsidRPr="00856C7C">
        <w:rPr>
          <w:sz w:val="20"/>
          <w:szCs w:val="20"/>
        </w:rPr>
        <w:t xml:space="preserve"> inclined to grant an increase in the handling charges prescribed for different sizes of containers for the activity ‘Ship to yard/ yard to ship using port crane’ on loaded and empty foreign containers. Consequently, the rates for the corresponding coastal containers </w:t>
      </w:r>
      <w:r w:rsidR="00CE3019" w:rsidRPr="00856C7C">
        <w:rPr>
          <w:sz w:val="20"/>
          <w:szCs w:val="20"/>
        </w:rPr>
        <w:t>is</w:t>
      </w:r>
      <w:r w:rsidRPr="00856C7C">
        <w:rPr>
          <w:sz w:val="20"/>
          <w:szCs w:val="20"/>
        </w:rPr>
        <w:t xml:space="preserve"> also prescribed at 60% of the corresponding foreign rates, so as to give effect to the </w:t>
      </w:r>
      <w:r w:rsidR="00493E61" w:rsidRPr="00856C7C">
        <w:rPr>
          <w:sz w:val="20"/>
          <w:szCs w:val="20"/>
        </w:rPr>
        <w:t>C</w:t>
      </w:r>
      <w:r w:rsidRPr="00856C7C">
        <w:rPr>
          <w:sz w:val="20"/>
          <w:szCs w:val="20"/>
        </w:rPr>
        <w:t xml:space="preserve">oastal </w:t>
      </w:r>
      <w:r w:rsidR="00493E61" w:rsidRPr="00856C7C">
        <w:rPr>
          <w:sz w:val="20"/>
          <w:szCs w:val="20"/>
        </w:rPr>
        <w:t>P</w:t>
      </w:r>
      <w:r w:rsidRPr="00856C7C">
        <w:rPr>
          <w:sz w:val="20"/>
          <w:szCs w:val="20"/>
        </w:rPr>
        <w:t xml:space="preserve">olicy Guidelines of the Government. The said prescription on coastal tariff will not have an impact on the ARR of GTIPL, as the GTIPL in its earlier proposal (which culminated in the tariff Order of February 2020) has not estimated handling of any coastal containers. </w:t>
      </w:r>
    </w:p>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s>
        <w:ind w:left="1440" w:hanging="1440"/>
        <w:contextualSpacing/>
        <w:jc w:val="both"/>
        <w:rPr>
          <w:sz w:val="20"/>
          <w:szCs w:val="20"/>
        </w:rPr>
      </w:pPr>
      <w:r w:rsidRPr="00856C7C">
        <w:rPr>
          <w:sz w:val="20"/>
          <w:szCs w:val="20"/>
        </w:rPr>
        <w:tab/>
        <w:t>(viii).</w:t>
      </w:r>
      <w:r w:rsidRPr="00856C7C">
        <w:rPr>
          <w:sz w:val="20"/>
          <w:szCs w:val="20"/>
        </w:rPr>
        <w:tab/>
        <w:t xml:space="preserve">Though the GTIPL in its proposal had not initially sought for a retrospective revision in tariff, it has, during the joint hearing, sought a retrospective revision in its tariff with effect from 18 July 2020, the date when the revised lease rentals of JNPT has come into force. As rightly put forth by MANSA, </w:t>
      </w:r>
      <w:r w:rsidR="00CE3019" w:rsidRPr="00856C7C">
        <w:rPr>
          <w:sz w:val="20"/>
          <w:szCs w:val="20"/>
        </w:rPr>
        <w:t xml:space="preserve">the users/ user associations </w:t>
      </w:r>
      <w:r w:rsidR="00257709" w:rsidRPr="00856C7C">
        <w:rPr>
          <w:sz w:val="20"/>
          <w:szCs w:val="20"/>
        </w:rPr>
        <w:t>would</w:t>
      </w:r>
      <w:r w:rsidR="00CE3019" w:rsidRPr="00856C7C">
        <w:rPr>
          <w:sz w:val="20"/>
          <w:szCs w:val="20"/>
        </w:rPr>
        <w:t xml:space="preserve"> not</w:t>
      </w:r>
      <w:r w:rsidRPr="00856C7C">
        <w:rPr>
          <w:sz w:val="20"/>
          <w:szCs w:val="20"/>
        </w:rPr>
        <w:t xml:space="preserve"> in a position to recover the increased rates from their clients</w:t>
      </w:r>
      <w:r w:rsidR="00257709" w:rsidRPr="00856C7C">
        <w:rPr>
          <w:sz w:val="20"/>
          <w:szCs w:val="20"/>
        </w:rPr>
        <w:t xml:space="preserve"> retrospectively</w:t>
      </w:r>
      <w:r w:rsidRPr="00856C7C">
        <w:rPr>
          <w:sz w:val="20"/>
          <w:szCs w:val="20"/>
        </w:rPr>
        <w:t xml:space="preserve">, who have reportedly already gone away, after availing services. Giving retrospective revision </w:t>
      </w:r>
      <w:r w:rsidR="00493E61" w:rsidRPr="00856C7C">
        <w:rPr>
          <w:sz w:val="20"/>
          <w:szCs w:val="20"/>
        </w:rPr>
        <w:t xml:space="preserve">may also </w:t>
      </w:r>
      <w:r w:rsidRPr="00856C7C">
        <w:rPr>
          <w:sz w:val="20"/>
          <w:szCs w:val="20"/>
        </w:rPr>
        <w:t xml:space="preserve">lead to billing </w:t>
      </w:r>
      <w:r w:rsidR="00CE3019" w:rsidRPr="00856C7C">
        <w:rPr>
          <w:sz w:val="20"/>
          <w:szCs w:val="20"/>
        </w:rPr>
        <w:t xml:space="preserve">issues. Hence, this Authority is </w:t>
      </w:r>
      <w:r w:rsidR="00CE3019" w:rsidRPr="00856C7C">
        <w:rPr>
          <w:sz w:val="20"/>
          <w:szCs w:val="20"/>
        </w:rPr>
        <w:lastRenderedPageBreak/>
        <w:t>not</w:t>
      </w:r>
      <w:r w:rsidRPr="00856C7C">
        <w:rPr>
          <w:sz w:val="20"/>
          <w:szCs w:val="20"/>
        </w:rPr>
        <w:t xml:space="preserve"> inclined to give retrospective revision to the increased rates, as sought by GTIPL. Recognising the lead time required for the Trade to get ready to pay the revised rates, and the time required for the GTIPL to implement the revised rates, the revi</w:t>
      </w:r>
      <w:r w:rsidR="00CE3019" w:rsidRPr="00856C7C">
        <w:rPr>
          <w:sz w:val="20"/>
          <w:szCs w:val="20"/>
        </w:rPr>
        <w:t xml:space="preserve">sed charges </w:t>
      </w:r>
      <w:r w:rsidR="00257709" w:rsidRPr="00856C7C">
        <w:rPr>
          <w:sz w:val="20"/>
          <w:szCs w:val="20"/>
        </w:rPr>
        <w:t xml:space="preserve">being </w:t>
      </w:r>
      <w:r w:rsidR="00CE3019" w:rsidRPr="00856C7C">
        <w:rPr>
          <w:sz w:val="20"/>
          <w:szCs w:val="20"/>
        </w:rPr>
        <w:t>approved</w:t>
      </w:r>
      <w:r w:rsidR="00257709" w:rsidRPr="00856C7C">
        <w:rPr>
          <w:sz w:val="20"/>
          <w:szCs w:val="20"/>
        </w:rPr>
        <w:t xml:space="preserve"> now shall </w:t>
      </w:r>
      <w:r w:rsidRPr="00856C7C">
        <w:rPr>
          <w:sz w:val="20"/>
          <w:szCs w:val="20"/>
        </w:rPr>
        <w:t xml:space="preserve">come into effect after expiry of 15 days from the </w:t>
      </w:r>
      <w:r w:rsidR="00493E61" w:rsidRPr="00856C7C">
        <w:rPr>
          <w:sz w:val="20"/>
          <w:szCs w:val="20"/>
        </w:rPr>
        <w:t xml:space="preserve">date of </w:t>
      </w:r>
      <w:r w:rsidR="001B6E5A" w:rsidRPr="00856C7C">
        <w:rPr>
          <w:sz w:val="20"/>
          <w:szCs w:val="20"/>
        </w:rPr>
        <w:t>notification of the Order</w:t>
      </w:r>
      <w:r w:rsidRPr="00856C7C">
        <w:rPr>
          <w:sz w:val="20"/>
          <w:szCs w:val="20"/>
        </w:rPr>
        <w:t xml:space="preserve"> in the Gazette of India. The GTIPL will not be put into disadvantageous position since the entire expenditure</w:t>
      </w:r>
      <w:r w:rsidR="00493E61" w:rsidRPr="00856C7C">
        <w:rPr>
          <w:sz w:val="20"/>
          <w:szCs w:val="20"/>
        </w:rPr>
        <w:t xml:space="preserve"> incurred </w:t>
      </w:r>
      <w:r w:rsidRPr="00856C7C">
        <w:rPr>
          <w:sz w:val="20"/>
          <w:szCs w:val="20"/>
        </w:rPr>
        <w:t>by GTIPL</w:t>
      </w:r>
      <w:r w:rsidR="00493E61" w:rsidRPr="00856C7C">
        <w:rPr>
          <w:sz w:val="20"/>
          <w:szCs w:val="20"/>
        </w:rPr>
        <w:t xml:space="preserve"> in the form of increased lease rentals</w:t>
      </w:r>
      <w:r w:rsidRPr="00856C7C">
        <w:rPr>
          <w:sz w:val="20"/>
          <w:szCs w:val="20"/>
        </w:rPr>
        <w:t xml:space="preserve"> </w:t>
      </w:r>
      <w:r w:rsidR="00257709" w:rsidRPr="00856C7C">
        <w:rPr>
          <w:sz w:val="20"/>
          <w:szCs w:val="20"/>
        </w:rPr>
        <w:t>shall</w:t>
      </w:r>
      <w:r w:rsidR="00493E61" w:rsidRPr="00856C7C">
        <w:rPr>
          <w:sz w:val="20"/>
          <w:szCs w:val="20"/>
        </w:rPr>
        <w:t xml:space="preserve"> have to </w:t>
      </w:r>
      <w:r w:rsidRPr="00856C7C">
        <w:rPr>
          <w:sz w:val="20"/>
          <w:szCs w:val="20"/>
        </w:rPr>
        <w:t>be captured during the tariff fixation for the next cycle under ARR Model.</w:t>
      </w:r>
    </w:p>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s>
        <w:contextualSpacing/>
        <w:jc w:val="both"/>
        <w:rPr>
          <w:sz w:val="20"/>
          <w:szCs w:val="20"/>
        </w:rPr>
      </w:pPr>
      <w:r w:rsidRPr="00856C7C">
        <w:rPr>
          <w:sz w:val="20"/>
          <w:szCs w:val="20"/>
        </w:rPr>
        <w:t>8.1.</w:t>
      </w:r>
      <w:r w:rsidRPr="00856C7C">
        <w:rPr>
          <w:sz w:val="20"/>
          <w:szCs w:val="20"/>
        </w:rPr>
        <w:tab/>
      </w:r>
      <w:r w:rsidRPr="00856C7C">
        <w:rPr>
          <w:sz w:val="20"/>
          <w:szCs w:val="20"/>
        </w:rPr>
        <w:tab/>
        <w:t xml:space="preserve">In the result, and for the reasons given above, </w:t>
      </w:r>
      <w:r w:rsidR="00257709" w:rsidRPr="00856C7C">
        <w:rPr>
          <w:sz w:val="20"/>
          <w:szCs w:val="20"/>
        </w:rPr>
        <w:t xml:space="preserve">and based on the collective application of mind, </w:t>
      </w:r>
      <w:r w:rsidRPr="00856C7C">
        <w:rPr>
          <w:sz w:val="20"/>
          <w:szCs w:val="20"/>
        </w:rPr>
        <w:t>the existing charges prescribed at Section 1A of the existing SOR of GTIPL</w:t>
      </w:r>
      <w:r w:rsidR="00CE3019" w:rsidRPr="00856C7C">
        <w:rPr>
          <w:sz w:val="20"/>
          <w:szCs w:val="20"/>
        </w:rPr>
        <w:t xml:space="preserve"> </w:t>
      </w:r>
      <w:r w:rsidR="00493E61" w:rsidRPr="00856C7C">
        <w:rPr>
          <w:sz w:val="20"/>
          <w:szCs w:val="20"/>
        </w:rPr>
        <w:t>are</w:t>
      </w:r>
      <w:r w:rsidRPr="00856C7C">
        <w:rPr>
          <w:sz w:val="20"/>
          <w:szCs w:val="20"/>
        </w:rPr>
        <w:t xml:space="preserve"> replaced with the following:</w:t>
      </w:r>
    </w:p>
    <w:p w:rsidR="00AE27D5" w:rsidRPr="00856C7C" w:rsidRDefault="00AE27D5" w:rsidP="00856C7C">
      <w:pPr>
        <w:tabs>
          <w:tab w:val="left" w:pos="720"/>
        </w:tabs>
        <w:contextualSpacing/>
        <w:jc w:val="both"/>
        <w:rPr>
          <w:sz w:val="20"/>
          <w:szCs w:val="20"/>
        </w:rPr>
      </w:pPr>
    </w:p>
    <w:p w:rsidR="00AE27D5" w:rsidRPr="00856C7C" w:rsidRDefault="00AE27D5" w:rsidP="00856C7C">
      <w:pPr>
        <w:tabs>
          <w:tab w:val="left" w:pos="720"/>
        </w:tabs>
        <w:contextualSpacing/>
        <w:jc w:val="both"/>
        <w:rPr>
          <w:b/>
          <w:bCs w:val="0"/>
          <w:sz w:val="20"/>
          <w:szCs w:val="20"/>
        </w:rPr>
      </w:pPr>
      <w:r w:rsidRPr="00856C7C">
        <w:rPr>
          <w:sz w:val="20"/>
          <w:szCs w:val="20"/>
        </w:rPr>
        <w:tab/>
      </w:r>
      <w:r w:rsidRPr="00856C7C">
        <w:rPr>
          <w:b/>
          <w:bCs w:val="0"/>
          <w:sz w:val="20"/>
          <w:szCs w:val="20"/>
        </w:rPr>
        <w:t xml:space="preserve">Section - 1 Charges for all Normal &amp; Rail in -Rail Out containers/Non vessel bound </w:t>
      </w:r>
      <w:r w:rsidRPr="00856C7C">
        <w:rPr>
          <w:b/>
          <w:bCs w:val="0"/>
          <w:sz w:val="20"/>
          <w:szCs w:val="20"/>
        </w:rPr>
        <w:tab/>
        <w:t>containers</w:t>
      </w:r>
    </w:p>
    <w:tbl>
      <w:tblPr>
        <w:tblpPr w:leftFromText="180" w:rightFromText="180" w:vertAnchor="text" w:horzAnchor="margin" w:tblpXSpec="center" w:tblpY="191"/>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2085"/>
        <w:gridCol w:w="1975"/>
      </w:tblGrid>
      <w:tr w:rsidR="00AE27D5" w:rsidRPr="00856C7C" w:rsidTr="00EB2F59">
        <w:trPr>
          <w:trHeight w:val="315"/>
        </w:trPr>
        <w:tc>
          <w:tcPr>
            <w:tcW w:w="5925" w:type="dxa"/>
            <w:gridSpan w:val="3"/>
            <w:shd w:val="clear" w:color="auto" w:fill="auto"/>
            <w:noWrap/>
            <w:hideMark/>
          </w:tcPr>
          <w:p w:rsidR="00AE27D5" w:rsidRPr="00856C7C" w:rsidRDefault="00AE27D5" w:rsidP="00856C7C">
            <w:pPr>
              <w:contextualSpacing/>
              <w:rPr>
                <w:rFonts w:ascii="Times New Roman" w:hAnsi="Times New Roman" w:cs="Times New Roman"/>
                <w:bCs w:val="0"/>
                <w:sz w:val="20"/>
                <w:szCs w:val="20"/>
                <w:lang w:bidi="hi-IN"/>
              </w:rPr>
            </w:pPr>
            <w:r w:rsidRPr="00856C7C">
              <w:rPr>
                <w:b/>
                <w:color w:val="000000"/>
                <w:sz w:val="20"/>
                <w:szCs w:val="20"/>
                <w:lang w:bidi="hi-IN"/>
              </w:rPr>
              <w:t>A.  Ship to yard/ yard to ship using port crane.</w:t>
            </w:r>
          </w:p>
        </w:tc>
      </w:tr>
      <w:tr w:rsidR="00AE27D5" w:rsidRPr="00856C7C" w:rsidTr="00EB2F59">
        <w:trPr>
          <w:trHeight w:val="278"/>
        </w:trPr>
        <w:tc>
          <w:tcPr>
            <w:tcW w:w="1865" w:type="dxa"/>
            <w:shd w:val="clear" w:color="auto" w:fill="auto"/>
            <w:noWrap/>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Particulars.</w:t>
            </w:r>
          </w:p>
        </w:tc>
        <w:tc>
          <w:tcPr>
            <w:tcW w:w="2085" w:type="dxa"/>
            <w:shd w:val="clear" w:color="auto" w:fill="auto"/>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Foreign-Going             (In INR)</w:t>
            </w:r>
          </w:p>
        </w:tc>
        <w:tc>
          <w:tcPr>
            <w:tcW w:w="1975" w:type="dxa"/>
            <w:shd w:val="clear" w:color="auto" w:fill="auto"/>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Coastal                                                              (in INR)</w:t>
            </w:r>
          </w:p>
        </w:tc>
      </w:tr>
      <w:tr w:rsidR="00AE27D5" w:rsidRPr="00856C7C" w:rsidTr="00EB2F59">
        <w:trPr>
          <w:trHeight w:val="152"/>
        </w:trPr>
        <w:tc>
          <w:tcPr>
            <w:tcW w:w="186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Loaded Container</w:t>
            </w:r>
          </w:p>
        </w:tc>
        <w:tc>
          <w:tcPr>
            <w:tcW w:w="208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 </w:t>
            </w:r>
          </w:p>
        </w:tc>
        <w:tc>
          <w:tcPr>
            <w:tcW w:w="197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 </w:t>
            </w:r>
          </w:p>
        </w:tc>
      </w:tr>
      <w:tr w:rsidR="00AE27D5" w:rsidRPr="00856C7C" w:rsidTr="00EB2F59">
        <w:trPr>
          <w:trHeight w:val="143"/>
        </w:trPr>
        <w:tc>
          <w:tcPr>
            <w:tcW w:w="186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 xml:space="preserve"> 20'</w:t>
            </w:r>
          </w:p>
        </w:tc>
        <w:tc>
          <w:tcPr>
            <w:tcW w:w="2085" w:type="dxa"/>
            <w:shd w:val="clear" w:color="auto" w:fill="auto"/>
            <w:noWrap/>
            <w:hideMark/>
          </w:tcPr>
          <w:p w:rsidR="00AE27D5" w:rsidRPr="00856C7C" w:rsidRDefault="00AE27D5" w:rsidP="00856C7C">
            <w:pPr>
              <w:contextualSpacing/>
              <w:rPr>
                <w:b/>
                <w:color w:val="000000"/>
                <w:sz w:val="20"/>
                <w:szCs w:val="20"/>
                <w:lang w:bidi="hi-IN"/>
              </w:rPr>
            </w:pPr>
            <w:r w:rsidRPr="00856C7C">
              <w:rPr>
                <w:b/>
                <w:color w:val="000000"/>
                <w:sz w:val="20"/>
                <w:szCs w:val="20"/>
                <w:lang w:bidi="hi-IN"/>
              </w:rPr>
              <w:t xml:space="preserve">                   2,702.76 </w:t>
            </w:r>
          </w:p>
        </w:tc>
        <w:tc>
          <w:tcPr>
            <w:tcW w:w="1975" w:type="dxa"/>
            <w:shd w:val="clear" w:color="auto" w:fill="auto"/>
            <w:noWrap/>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 xml:space="preserve">                1,621.65 </w:t>
            </w:r>
          </w:p>
        </w:tc>
      </w:tr>
      <w:tr w:rsidR="00AE27D5" w:rsidRPr="00856C7C" w:rsidTr="00EB2F59">
        <w:trPr>
          <w:trHeight w:val="215"/>
        </w:trPr>
        <w:tc>
          <w:tcPr>
            <w:tcW w:w="186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 xml:space="preserve"> 40'</w:t>
            </w:r>
          </w:p>
        </w:tc>
        <w:tc>
          <w:tcPr>
            <w:tcW w:w="2085" w:type="dxa"/>
            <w:shd w:val="clear" w:color="auto" w:fill="auto"/>
            <w:noWrap/>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 xml:space="preserve">                   4,054.13 </w:t>
            </w:r>
          </w:p>
        </w:tc>
        <w:tc>
          <w:tcPr>
            <w:tcW w:w="1975" w:type="dxa"/>
            <w:shd w:val="clear" w:color="auto" w:fill="auto"/>
            <w:noWrap/>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 xml:space="preserve">                2,432.48 </w:t>
            </w:r>
          </w:p>
        </w:tc>
      </w:tr>
      <w:tr w:rsidR="00AE27D5" w:rsidRPr="00856C7C" w:rsidTr="00EB2F59">
        <w:trPr>
          <w:trHeight w:val="300"/>
        </w:trPr>
        <w:tc>
          <w:tcPr>
            <w:tcW w:w="186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Over 40'</w:t>
            </w:r>
          </w:p>
        </w:tc>
        <w:tc>
          <w:tcPr>
            <w:tcW w:w="2085" w:type="dxa"/>
            <w:shd w:val="clear" w:color="auto" w:fill="auto"/>
            <w:noWrap/>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 xml:space="preserve">                   5,405.51 </w:t>
            </w:r>
          </w:p>
        </w:tc>
        <w:tc>
          <w:tcPr>
            <w:tcW w:w="1975" w:type="dxa"/>
            <w:shd w:val="clear" w:color="auto" w:fill="auto"/>
            <w:noWrap/>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 xml:space="preserve">                 3,243.31 </w:t>
            </w:r>
          </w:p>
        </w:tc>
      </w:tr>
      <w:tr w:rsidR="00AE27D5" w:rsidRPr="00856C7C" w:rsidTr="00EB2F59">
        <w:trPr>
          <w:trHeight w:val="300"/>
        </w:trPr>
        <w:tc>
          <w:tcPr>
            <w:tcW w:w="186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ICD Container</w:t>
            </w:r>
          </w:p>
        </w:tc>
        <w:tc>
          <w:tcPr>
            <w:tcW w:w="2085" w:type="dxa"/>
            <w:shd w:val="clear" w:color="auto" w:fill="auto"/>
            <w:noWrap/>
            <w:hideMark/>
          </w:tcPr>
          <w:p w:rsidR="00AE27D5" w:rsidRPr="00856C7C" w:rsidRDefault="00AE27D5" w:rsidP="00856C7C">
            <w:pPr>
              <w:contextualSpacing/>
              <w:jc w:val="center"/>
              <w:rPr>
                <w:bCs w:val="0"/>
                <w:color w:val="000000"/>
                <w:sz w:val="20"/>
                <w:szCs w:val="20"/>
                <w:lang w:bidi="hi-IN"/>
              </w:rPr>
            </w:pPr>
            <w:r w:rsidRPr="00856C7C">
              <w:rPr>
                <w:bCs w:val="0"/>
                <w:color w:val="000000"/>
                <w:sz w:val="20"/>
                <w:szCs w:val="20"/>
                <w:lang w:bidi="hi-IN"/>
              </w:rPr>
              <w:t> </w:t>
            </w:r>
          </w:p>
        </w:tc>
        <w:tc>
          <w:tcPr>
            <w:tcW w:w="1975" w:type="dxa"/>
            <w:shd w:val="clear" w:color="auto" w:fill="auto"/>
            <w:noWrap/>
            <w:hideMark/>
          </w:tcPr>
          <w:p w:rsidR="00AE27D5" w:rsidRPr="00856C7C" w:rsidRDefault="00AE27D5" w:rsidP="00856C7C">
            <w:pPr>
              <w:contextualSpacing/>
              <w:jc w:val="center"/>
              <w:rPr>
                <w:bCs w:val="0"/>
                <w:color w:val="000000"/>
                <w:sz w:val="20"/>
                <w:szCs w:val="20"/>
                <w:lang w:bidi="hi-IN"/>
              </w:rPr>
            </w:pPr>
            <w:r w:rsidRPr="00856C7C">
              <w:rPr>
                <w:bCs w:val="0"/>
                <w:color w:val="000000"/>
                <w:sz w:val="20"/>
                <w:szCs w:val="20"/>
                <w:lang w:bidi="hi-IN"/>
              </w:rPr>
              <w:t> </w:t>
            </w:r>
          </w:p>
        </w:tc>
      </w:tr>
      <w:tr w:rsidR="00AE27D5" w:rsidRPr="00856C7C" w:rsidTr="00EB2F59">
        <w:trPr>
          <w:trHeight w:val="300"/>
        </w:trPr>
        <w:tc>
          <w:tcPr>
            <w:tcW w:w="186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 xml:space="preserve"> 20'</w:t>
            </w:r>
          </w:p>
        </w:tc>
        <w:tc>
          <w:tcPr>
            <w:tcW w:w="2085" w:type="dxa"/>
            <w:shd w:val="clear" w:color="auto" w:fill="auto"/>
            <w:noWrap/>
            <w:hideMark/>
          </w:tcPr>
          <w:p w:rsidR="00AE27D5" w:rsidRPr="00856C7C" w:rsidRDefault="00AE27D5" w:rsidP="00856C7C">
            <w:pPr>
              <w:contextualSpacing/>
              <w:jc w:val="center"/>
              <w:rPr>
                <w:bCs w:val="0"/>
                <w:color w:val="000000"/>
                <w:sz w:val="20"/>
                <w:szCs w:val="20"/>
                <w:lang w:bidi="hi-IN"/>
              </w:rPr>
            </w:pPr>
            <w:r w:rsidRPr="00856C7C">
              <w:rPr>
                <w:bCs w:val="0"/>
                <w:color w:val="000000"/>
                <w:sz w:val="20"/>
                <w:szCs w:val="20"/>
                <w:lang w:bidi="hi-IN"/>
              </w:rPr>
              <w:t xml:space="preserve">                   2,702.76 </w:t>
            </w:r>
          </w:p>
        </w:tc>
        <w:tc>
          <w:tcPr>
            <w:tcW w:w="1975" w:type="dxa"/>
            <w:shd w:val="clear" w:color="auto" w:fill="auto"/>
            <w:noWrap/>
            <w:hideMark/>
          </w:tcPr>
          <w:p w:rsidR="00AE27D5" w:rsidRPr="00856C7C" w:rsidRDefault="00AE27D5" w:rsidP="00856C7C">
            <w:pPr>
              <w:contextualSpacing/>
              <w:jc w:val="center"/>
              <w:rPr>
                <w:bCs w:val="0"/>
                <w:color w:val="000000"/>
                <w:sz w:val="20"/>
                <w:szCs w:val="20"/>
                <w:lang w:bidi="hi-IN"/>
              </w:rPr>
            </w:pPr>
            <w:r w:rsidRPr="00856C7C">
              <w:rPr>
                <w:bCs w:val="0"/>
                <w:color w:val="000000"/>
                <w:sz w:val="20"/>
                <w:szCs w:val="20"/>
                <w:lang w:bidi="hi-IN"/>
              </w:rPr>
              <w:t xml:space="preserve">                 1,621.65 </w:t>
            </w:r>
          </w:p>
        </w:tc>
      </w:tr>
      <w:tr w:rsidR="00AE27D5" w:rsidRPr="00856C7C" w:rsidTr="00EB2F59">
        <w:trPr>
          <w:trHeight w:val="300"/>
        </w:trPr>
        <w:tc>
          <w:tcPr>
            <w:tcW w:w="186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 xml:space="preserve"> 40'</w:t>
            </w:r>
          </w:p>
        </w:tc>
        <w:tc>
          <w:tcPr>
            <w:tcW w:w="2085" w:type="dxa"/>
            <w:shd w:val="clear" w:color="auto" w:fill="auto"/>
            <w:noWrap/>
            <w:hideMark/>
          </w:tcPr>
          <w:p w:rsidR="00AE27D5" w:rsidRPr="00856C7C" w:rsidRDefault="00AE27D5" w:rsidP="00856C7C">
            <w:pPr>
              <w:contextualSpacing/>
              <w:jc w:val="center"/>
              <w:rPr>
                <w:bCs w:val="0"/>
                <w:color w:val="000000"/>
                <w:sz w:val="20"/>
                <w:szCs w:val="20"/>
                <w:lang w:bidi="hi-IN"/>
              </w:rPr>
            </w:pPr>
            <w:r w:rsidRPr="00856C7C">
              <w:rPr>
                <w:bCs w:val="0"/>
                <w:color w:val="000000"/>
                <w:sz w:val="20"/>
                <w:szCs w:val="20"/>
                <w:lang w:bidi="hi-IN"/>
              </w:rPr>
              <w:t xml:space="preserve">                   4,054.13 </w:t>
            </w:r>
          </w:p>
        </w:tc>
        <w:tc>
          <w:tcPr>
            <w:tcW w:w="1975" w:type="dxa"/>
            <w:shd w:val="clear" w:color="auto" w:fill="auto"/>
            <w:noWrap/>
            <w:hideMark/>
          </w:tcPr>
          <w:p w:rsidR="00AE27D5" w:rsidRPr="00856C7C" w:rsidRDefault="00AE27D5" w:rsidP="00856C7C">
            <w:pPr>
              <w:contextualSpacing/>
              <w:jc w:val="center"/>
              <w:rPr>
                <w:bCs w:val="0"/>
                <w:color w:val="000000"/>
                <w:sz w:val="20"/>
                <w:szCs w:val="20"/>
                <w:lang w:bidi="hi-IN"/>
              </w:rPr>
            </w:pPr>
            <w:r w:rsidRPr="00856C7C">
              <w:rPr>
                <w:bCs w:val="0"/>
                <w:color w:val="000000"/>
                <w:sz w:val="20"/>
                <w:szCs w:val="20"/>
                <w:lang w:bidi="hi-IN"/>
              </w:rPr>
              <w:t xml:space="preserve">                 2,432.48 </w:t>
            </w:r>
          </w:p>
        </w:tc>
      </w:tr>
      <w:tr w:rsidR="00AE27D5" w:rsidRPr="00856C7C" w:rsidTr="00EB2F59">
        <w:trPr>
          <w:trHeight w:val="300"/>
        </w:trPr>
        <w:tc>
          <w:tcPr>
            <w:tcW w:w="186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Over 40'</w:t>
            </w:r>
          </w:p>
        </w:tc>
        <w:tc>
          <w:tcPr>
            <w:tcW w:w="2085" w:type="dxa"/>
            <w:shd w:val="clear" w:color="auto" w:fill="auto"/>
            <w:noWrap/>
            <w:hideMark/>
          </w:tcPr>
          <w:p w:rsidR="00AE27D5" w:rsidRPr="00856C7C" w:rsidRDefault="00AE27D5" w:rsidP="00856C7C">
            <w:pPr>
              <w:contextualSpacing/>
              <w:jc w:val="center"/>
              <w:rPr>
                <w:bCs w:val="0"/>
                <w:color w:val="000000"/>
                <w:sz w:val="20"/>
                <w:szCs w:val="20"/>
                <w:lang w:bidi="hi-IN"/>
              </w:rPr>
            </w:pPr>
            <w:r w:rsidRPr="00856C7C">
              <w:rPr>
                <w:bCs w:val="0"/>
                <w:color w:val="000000"/>
                <w:sz w:val="20"/>
                <w:szCs w:val="20"/>
                <w:lang w:bidi="hi-IN"/>
              </w:rPr>
              <w:t xml:space="preserve">                   5,405.51 </w:t>
            </w:r>
          </w:p>
        </w:tc>
        <w:tc>
          <w:tcPr>
            <w:tcW w:w="1975" w:type="dxa"/>
            <w:shd w:val="clear" w:color="auto" w:fill="auto"/>
            <w:noWrap/>
            <w:hideMark/>
          </w:tcPr>
          <w:p w:rsidR="00AE27D5" w:rsidRPr="00856C7C" w:rsidRDefault="00AE27D5" w:rsidP="00856C7C">
            <w:pPr>
              <w:contextualSpacing/>
              <w:jc w:val="center"/>
              <w:rPr>
                <w:bCs w:val="0"/>
                <w:color w:val="000000"/>
                <w:sz w:val="20"/>
                <w:szCs w:val="20"/>
                <w:lang w:bidi="hi-IN"/>
              </w:rPr>
            </w:pPr>
            <w:r w:rsidRPr="00856C7C">
              <w:rPr>
                <w:bCs w:val="0"/>
                <w:color w:val="000000"/>
                <w:sz w:val="20"/>
                <w:szCs w:val="20"/>
                <w:lang w:bidi="hi-IN"/>
              </w:rPr>
              <w:t xml:space="preserve">                 3,243.31 </w:t>
            </w:r>
          </w:p>
        </w:tc>
      </w:tr>
      <w:tr w:rsidR="00AE27D5" w:rsidRPr="00856C7C" w:rsidTr="00EB2F59">
        <w:trPr>
          <w:trHeight w:val="300"/>
        </w:trPr>
        <w:tc>
          <w:tcPr>
            <w:tcW w:w="186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Empty Container</w:t>
            </w:r>
          </w:p>
        </w:tc>
        <w:tc>
          <w:tcPr>
            <w:tcW w:w="2085" w:type="dxa"/>
            <w:shd w:val="clear" w:color="auto" w:fill="auto"/>
            <w:noWrap/>
            <w:hideMark/>
          </w:tcPr>
          <w:p w:rsidR="00AE27D5" w:rsidRPr="00856C7C" w:rsidRDefault="00AE27D5" w:rsidP="00856C7C">
            <w:pPr>
              <w:contextualSpacing/>
              <w:jc w:val="center"/>
              <w:rPr>
                <w:bCs w:val="0"/>
                <w:color w:val="000000"/>
                <w:sz w:val="20"/>
                <w:szCs w:val="20"/>
                <w:lang w:bidi="hi-IN"/>
              </w:rPr>
            </w:pPr>
            <w:r w:rsidRPr="00856C7C">
              <w:rPr>
                <w:bCs w:val="0"/>
                <w:color w:val="000000"/>
                <w:sz w:val="20"/>
                <w:szCs w:val="20"/>
                <w:lang w:bidi="hi-IN"/>
              </w:rPr>
              <w:t> </w:t>
            </w:r>
          </w:p>
        </w:tc>
        <w:tc>
          <w:tcPr>
            <w:tcW w:w="1975" w:type="dxa"/>
            <w:shd w:val="clear" w:color="auto" w:fill="auto"/>
            <w:noWrap/>
            <w:hideMark/>
          </w:tcPr>
          <w:p w:rsidR="00AE27D5" w:rsidRPr="00856C7C" w:rsidRDefault="00AE27D5" w:rsidP="00856C7C">
            <w:pPr>
              <w:contextualSpacing/>
              <w:jc w:val="center"/>
              <w:rPr>
                <w:bCs w:val="0"/>
                <w:color w:val="000000"/>
                <w:sz w:val="20"/>
                <w:szCs w:val="20"/>
                <w:lang w:bidi="hi-IN"/>
              </w:rPr>
            </w:pPr>
            <w:r w:rsidRPr="00856C7C">
              <w:rPr>
                <w:bCs w:val="0"/>
                <w:color w:val="000000"/>
                <w:sz w:val="20"/>
                <w:szCs w:val="20"/>
                <w:lang w:bidi="hi-IN"/>
              </w:rPr>
              <w:t> </w:t>
            </w:r>
          </w:p>
        </w:tc>
      </w:tr>
      <w:tr w:rsidR="00AE27D5" w:rsidRPr="00856C7C" w:rsidTr="00EB2F59">
        <w:trPr>
          <w:trHeight w:val="300"/>
        </w:trPr>
        <w:tc>
          <w:tcPr>
            <w:tcW w:w="186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 xml:space="preserve"> 20'</w:t>
            </w:r>
          </w:p>
        </w:tc>
        <w:tc>
          <w:tcPr>
            <w:tcW w:w="2085" w:type="dxa"/>
            <w:shd w:val="clear" w:color="auto" w:fill="auto"/>
            <w:noWrap/>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 xml:space="preserve">                   2,180.62 </w:t>
            </w:r>
          </w:p>
        </w:tc>
        <w:tc>
          <w:tcPr>
            <w:tcW w:w="1975" w:type="dxa"/>
            <w:shd w:val="clear" w:color="auto" w:fill="auto"/>
            <w:noWrap/>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 xml:space="preserve">                 1,308.37 </w:t>
            </w:r>
          </w:p>
        </w:tc>
      </w:tr>
      <w:tr w:rsidR="00AE27D5" w:rsidRPr="00856C7C" w:rsidTr="00EB2F59">
        <w:trPr>
          <w:trHeight w:val="300"/>
        </w:trPr>
        <w:tc>
          <w:tcPr>
            <w:tcW w:w="186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 xml:space="preserve"> 40'</w:t>
            </w:r>
          </w:p>
        </w:tc>
        <w:tc>
          <w:tcPr>
            <w:tcW w:w="2085" w:type="dxa"/>
            <w:shd w:val="clear" w:color="auto" w:fill="auto"/>
            <w:noWrap/>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 xml:space="preserve">                   3,270.94 </w:t>
            </w:r>
          </w:p>
        </w:tc>
        <w:tc>
          <w:tcPr>
            <w:tcW w:w="1975" w:type="dxa"/>
            <w:shd w:val="clear" w:color="auto" w:fill="auto"/>
            <w:noWrap/>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 xml:space="preserve">                 1,962.56 </w:t>
            </w:r>
          </w:p>
        </w:tc>
      </w:tr>
      <w:tr w:rsidR="00AE27D5" w:rsidRPr="00856C7C" w:rsidTr="00EB2F59">
        <w:trPr>
          <w:trHeight w:val="300"/>
        </w:trPr>
        <w:tc>
          <w:tcPr>
            <w:tcW w:w="1865" w:type="dxa"/>
            <w:shd w:val="clear" w:color="auto" w:fill="auto"/>
            <w:noWrap/>
            <w:hideMark/>
          </w:tcPr>
          <w:p w:rsidR="00AE27D5" w:rsidRPr="00856C7C" w:rsidRDefault="00AE27D5" w:rsidP="00856C7C">
            <w:pPr>
              <w:contextualSpacing/>
              <w:rPr>
                <w:bCs w:val="0"/>
                <w:color w:val="000000"/>
                <w:sz w:val="20"/>
                <w:szCs w:val="20"/>
                <w:lang w:bidi="hi-IN"/>
              </w:rPr>
            </w:pPr>
            <w:r w:rsidRPr="00856C7C">
              <w:rPr>
                <w:bCs w:val="0"/>
                <w:color w:val="000000"/>
                <w:sz w:val="20"/>
                <w:szCs w:val="20"/>
                <w:lang w:bidi="hi-IN"/>
              </w:rPr>
              <w:t>Over 40'</w:t>
            </w:r>
          </w:p>
        </w:tc>
        <w:tc>
          <w:tcPr>
            <w:tcW w:w="2085" w:type="dxa"/>
            <w:shd w:val="clear" w:color="auto" w:fill="auto"/>
            <w:noWrap/>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 xml:space="preserve">                   4,361.25 </w:t>
            </w:r>
          </w:p>
        </w:tc>
        <w:tc>
          <w:tcPr>
            <w:tcW w:w="1975" w:type="dxa"/>
            <w:shd w:val="clear" w:color="auto" w:fill="auto"/>
            <w:noWrap/>
            <w:hideMark/>
          </w:tcPr>
          <w:p w:rsidR="00AE27D5" w:rsidRPr="00856C7C" w:rsidRDefault="00AE27D5" w:rsidP="00856C7C">
            <w:pPr>
              <w:contextualSpacing/>
              <w:jc w:val="center"/>
              <w:rPr>
                <w:b/>
                <w:color w:val="000000"/>
                <w:sz w:val="20"/>
                <w:szCs w:val="20"/>
                <w:lang w:bidi="hi-IN"/>
              </w:rPr>
            </w:pPr>
            <w:r w:rsidRPr="00856C7C">
              <w:rPr>
                <w:b/>
                <w:color w:val="000000"/>
                <w:sz w:val="20"/>
                <w:szCs w:val="20"/>
                <w:lang w:bidi="hi-IN"/>
              </w:rPr>
              <w:t xml:space="preserve">                 2,616.75 </w:t>
            </w:r>
          </w:p>
        </w:tc>
      </w:tr>
    </w:tbl>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s>
        <w:ind w:left="1440" w:hanging="1440"/>
        <w:contextualSpacing/>
        <w:jc w:val="both"/>
        <w:rPr>
          <w:sz w:val="20"/>
          <w:szCs w:val="20"/>
        </w:rPr>
      </w:pPr>
    </w:p>
    <w:p w:rsidR="00AE27D5" w:rsidRPr="00856C7C" w:rsidRDefault="00AE27D5" w:rsidP="00856C7C">
      <w:pPr>
        <w:tabs>
          <w:tab w:val="left" w:pos="720"/>
          <w:tab w:val="left" w:pos="1440"/>
        </w:tabs>
        <w:ind w:left="1440" w:hanging="1440"/>
        <w:contextualSpacing/>
        <w:jc w:val="both"/>
        <w:rPr>
          <w:rFonts w:cs="Times New Roman"/>
          <w:sz w:val="20"/>
          <w:szCs w:val="20"/>
        </w:rPr>
      </w:pPr>
    </w:p>
    <w:p w:rsidR="00AE27D5" w:rsidRPr="00856C7C" w:rsidRDefault="00AE27D5" w:rsidP="00856C7C">
      <w:pPr>
        <w:pStyle w:val="Default"/>
        <w:contextualSpacing/>
        <w:jc w:val="both"/>
        <w:rPr>
          <w:color w:val="000000" w:themeColor="text1"/>
          <w:sz w:val="20"/>
          <w:szCs w:val="20"/>
        </w:rPr>
      </w:pPr>
    </w:p>
    <w:p w:rsidR="00AE27D5" w:rsidRPr="00856C7C" w:rsidRDefault="00AE27D5" w:rsidP="00856C7C">
      <w:pPr>
        <w:pStyle w:val="Default"/>
        <w:contextualSpacing/>
        <w:jc w:val="both"/>
        <w:rPr>
          <w:color w:val="000000" w:themeColor="text1"/>
          <w:sz w:val="20"/>
          <w:szCs w:val="20"/>
        </w:rPr>
      </w:pPr>
    </w:p>
    <w:p w:rsidR="00AE27D5" w:rsidRPr="00856C7C" w:rsidRDefault="00AE27D5" w:rsidP="00856C7C">
      <w:pPr>
        <w:pStyle w:val="Default"/>
        <w:contextualSpacing/>
        <w:jc w:val="both"/>
        <w:rPr>
          <w:color w:val="000000" w:themeColor="text1"/>
          <w:sz w:val="20"/>
          <w:szCs w:val="20"/>
        </w:rPr>
      </w:pPr>
    </w:p>
    <w:p w:rsidR="00AE27D5" w:rsidRPr="00856C7C" w:rsidRDefault="00AE27D5" w:rsidP="00856C7C">
      <w:pPr>
        <w:pStyle w:val="Default"/>
        <w:contextualSpacing/>
        <w:jc w:val="both"/>
        <w:rPr>
          <w:color w:val="000000" w:themeColor="text1"/>
          <w:sz w:val="20"/>
          <w:szCs w:val="20"/>
        </w:rPr>
      </w:pPr>
    </w:p>
    <w:p w:rsidR="00AE27D5" w:rsidRPr="00856C7C" w:rsidRDefault="00AE27D5" w:rsidP="00856C7C">
      <w:pPr>
        <w:pStyle w:val="Default"/>
        <w:contextualSpacing/>
        <w:jc w:val="both"/>
        <w:rPr>
          <w:color w:val="000000" w:themeColor="text1"/>
          <w:sz w:val="20"/>
          <w:szCs w:val="20"/>
        </w:rPr>
      </w:pPr>
    </w:p>
    <w:p w:rsidR="00AE27D5" w:rsidRPr="00856C7C" w:rsidRDefault="00AE27D5" w:rsidP="00856C7C">
      <w:pPr>
        <w:pStyle w:val="Default"/>
        <w:contextualSpacing/>
        <w:jc w:val="both"/>
        <w:rPr>
          <w:color w:val="000000" w:themeColor="text1"/>
          <w:sz w:val="20"/>
          <w:szCs w:val="20"/>
        </w:rPr>
      </w:pPr>
    </w:p>
    <w:p w:rsidR="00AE27D5" w:rsidRPr="00856C7C" w:rsidRDefault="00AE27D5" w:rsidP="00856C7C">
      <w:pPr>
        <w:pStyle w:val="Default"/>
        <w:contextualSpacing/>
        <w:jc w:val="both"/>
        <w:rPr>
          <w:color w:val="000000" w:themeColor="text1"/>
          <w:sz w:val="20"/>
          <w:szCs w:val="20"/>
        </w:rPr>
      </w:pPr>
    </w:p>
    <w:p w:rsidR="00AE27D5" w:rsidRPr="00856C7C" w:rsidRDefault="00AE27D5" w:rsidP="00856C7C">
      <w:pPr>
        <w:pStyle w:val="Default"/>
        <w:contextualSpacing/>
        <w:jc w:val="both"/>
        <w:rPr>
          <w:color w:val="000000" w:themeColor="text1"/>
          <w:sz w:val="20"/>
          <w:szCs w:val="20"/>
        </w:rPr>
      </w:pPr>
    </w:p>
    <w:p w:rsidR="00AE27D5" w:rsidRPr="00856C7C" w:rsidRDefault="00AE27D5" w:rsidP="00856C7C">
      <w:pPr>
        <w:pStyle w:val="Default"/>
        <w:contextualSpacing/>
        <w:jc w:val="both"/>
        <w:rPr>
          <w:color w:val="000000" w:themeColor="text1"/>
          <w:sz w:val="20"/>
          <w:szCs w:val="20"/>
        </w:rPr>
      </w:pPr>
    </w:p>
    <w:p w:rsidR="00AE27D5" w:rsidRPr="00856C7C" w:rsidRDefault="00AE27D5" w:rsidP="00856C7C">
      <w:pPr>
        <w:pStyle w:val="Default"/>
        <w:contextualSpacing/>
        <w:jc w:val="both"/>
        <w:rPr>
          <w:color w:val="000000" w:themeColor="text1"/>
          <w:sz w:val="20"/>
          <w:szCs w:val="20"/>
        </w:rPr>
      </w:pPr>
    </w:p>
    <w:p w:rsidR="00AE27D5" w:rsidRPr="00856C7C" w:rsidRDefault="00AE27D5" w:rsidP="00856C7C">
      <w:pPr>
        <w:pStyle w:val="Default"/>
        <w:contextualSpacing/>
        <w:jc w:val="both"/>
        <w:rPr>
          <w:color w:val="000000" w:themeColor="text1"/>
          <w:sz w:val="20"/>
          <w:szCs w:val="20"/>
        </w:rPr>
      </w:pPr>
    </w:p>
    <w:p w:rsidR="002A3EE5" w:rsidRDefault="002A3EE5" w:rsidP="00856C7C">
      <w:pPr>
        <w:pStyle w:val="Default"/>
        <w:contextualSpacing/>
        <w:jc w:val="both"/>
        <w:rPr>
          <w:rFonts w:cstheme="minorBidi"/>
          <w:color w:val="000000" w:themeColor="text1"/>
          <w:sz w:val="20"/>
          <w:szCs w:val="20"/>
        </w:rPr>
      </w:pPr>
    </w:p>
    <w:p w:rsidR="002A3EE5" w:rsidRDefault="002A3EE5" w:rsidP="00856C7C">
      <w:pPr>
        <w:pStyle w:val="Default"/>
        <w:contextualSpacing/>
        <w:jc w:val="both"/>
        <w:rPr>
          <w:rFonts w:cstheme="minorBidi"/>
          <w:color w:val="000000" w:themeColor="text1"/>
          <w:sz w:val="20"/>
          <w:szCs w:val="20"/>
        </w:rPr>
      </w:pPr>
    </w:p>
    <w:p w:rsidR="002A3EE5" w:rsidRDefault="002A3EE5" w:rsidP="00856C7C">
      <w:pPr>
        <w:pStyle w:val="Default"/>
        <w:contextualSpacing/>
        <w:jc w:val="both"/>
        <w:rPr>
          <w:rFonts w:cstheme="minorBidi"/>
          <w:color w:val="000000" w:themeColor="text1"/>
          <w:sz w:val="20"/>
          <w:szCs w:val="20"/>
        </w:rPr>
      </w:pPr>
    </w:p>
    <w:p w:rsidR="002A3EE5" w:rsidRDefault="002A3EE5" w:rsidP="00856C7C">
      <w:pPr>
        <w:pStyle w:val="Default"/>
        <w:contextualSpacing/>
        <w:jc w:val="both"/>
        <w:rPr>
          <w:rFonts w:cstheme="minorBidi"/>
          <w:color w:val="000000" w:themeColor="text1"/>
          <w:sz w:val="20"/>
          <w:szCs w:val="20"/>
        </w:rPr>
      </w:pPr>
    </w:p>
    <w:p w:rsidR="002A3EE5" w:rsidRDefault="002A3EE5" w:rsidP="00856C7C">
      <w:pPr>
        <w:pStyle w:val="Default"/>
        <w:contextualSpacing/>
        <w:jc w:val="both"/>
        <w:rPr>
          <w:rFonts w:cstheme="minorBidi"/>
          <w:color w:val="000000" w:themeColor="text1"/>
          <w:sz w:val="20"/>
          <w:szCs w:val="20"/>
        </w:rPr>
      </w:pPr>
    </w:p>
    <w:p w:rsidR="002A3EE5" w:rsidRDefault="002A3EE5" w:rsidP="00856C7C">
      <w:pPr>
        <w:pStyle w:val="Default"/>
        <w:contextualSpacing/>
        <w:jc w:val="both"/>
        <w:rPr>
          <w:rFonts w:cstheme="minorBidi"/>
          <w:color w:val="000000" w:themeColor="text1"/>
          <w:sz w:val="20"/>
          <w:szCs w:val="20"/>
        </w:rPr>
      </w:pPr>
    </w:p>
    <w:p w:rsidR="002A3EE5" w:rsidRDefault="002A3EE5" w:rsidP="00856C7C">
      <w:pPr>
        <w:pStyle w:val="Default"/>
        <w:contextualSpacing/>
        <w:jc w:val="both"/>
        <w:rPr>
          <w:rFonts w:cstheme="minorBidi"/>
          <w:color w:val="000000" w:themeColor="text1"/>
          <w:sz w:val="20"/>
          <w:szCs w:val="20"/>
        </w:rPr>
      </w:pPr>
    </w:p>
    <w:p w:rsidR="00AE27D5" w:rsidRPr="00856C7C" w:rsidRDefault="00AE27D5" w:rsidP="00856C7C">
      <w:pPr>
        <w:pStyle w:val="Default"/>
        <w:contextualSpacing/>
        <w:jc w:val="both"/>
        <w:rPr>
          <w:color w:val="000000" w:themeColor="text1"/>
          <w:sz w:val="20"/>
          <w:szCs w:val="20"/>
        </w:rPr>
      </w:pPr>
      <w:r w:rsidRPr="00856C7C">
        <w:rPr>
          <w:color w:val="000000" w:themeColor="text1"/>
          <w:sz w:val="20"/>
          <w:szCs w:val="20"/>
        </w:rPr>
        <w:t>8</w:t>
      </w:r>
      <w:r w:rsidR="00CE3019" w:rsidRPr="00856C7C">
        <w:rPr>
          <w:color w:val="000000" w:themeColor="text1"/>
          <w:sz w:val="20"/>
          <w:szCs w:val="20"/>
        </w:rPr>
        <w:t>.2.</w:t>
      </w:r>
      <w:r w:rsidR="00CE3019" w:rsidRPr="00856C7C">
        <w:rPr>
          <w:color w:val="000000" w:themeColor="text1"/>
          <w:sz w:val="20"/>
          <w:szCs w:val="20"/>
        </w:rPr>
        <w:tab/>
      </w:r>
      <w:r w:rsidR="00CE3019" w:rsidRPr="00856C7C">
        <w:rPr>
          <w:color w:val="000000" w:themeColor="text1"/>
          <w:sz w:val="20"/>
          <w:szCs w:val="20"/>
        </w:rPr>
        <w:tab/>
        <w:t>The GTIPL is</w:t>
      </w:r>
      <w:r w:rsidRPr="00856C7C">
        <w:rPr>
          <w:color w:val="000000" w:themeColor="text1"/>
          <w:sz w:val="20"/>
          <w:szCs w:val="20"/>
        </w:rPr>
        <w:t xml:space="preserve"> directed to make necessary amendment in its Scale of Rates.</w:t>
      </w:r>
    </w:p>
    <w:p w:rsidR="00AE27D5" w:rsidRPr="00856C7C" w:rsidRDefault="00AE27D5" w:rsidP="00856C7C">
      <w:pPr>
        <w:pStyle w:val="Default"/>
        <w:contextualSpacing/>
        <w:jc w:val="both"/>
        <w:rPr>
          <w:color w:val="000000" w:themeColor="text1"/>
          <w:sz w:val="20"/>
          <w:szCs w:val="20"/>
        </w:rPr>
      </w:pPr>
    </w:p>
    <w:p w:rsidR="00654307" w:rsidRPr="00856C7C" w:rsidRDefault="00AE27D5" w:rsidP="00856C7C">
      <w:pPr>
        <w:contextualSpacing/>
        <w:jc w:val="both"/>
        <w:rPr>
          <w:sz w:val="20"/>
          <w:szCs w:val="20"/>
          <w:lang w:val="en-GB"/>
        </w:rPr>
      </w:pPr>
      <w:r w:rsidRPr="00856C7C">
        <w:rPr>
          <w:color w:val="000000" w:themeColor="text1"/>
          <w:sz w:val="20"/>
          <w:szCs w:val="20"/>
        </w:rPr>
        <w:t>8.3.</w:t>
      </w:r>
      <w:r w:rsidRPr="00856C7C">
        <w:rPr>
          <w:color w:val="000000" w:themeColor="text1"/>
          <w:sz w:val="20"/>
          <w:szCs w:val="20"/>
        </w:rPr>
        <w:tab/>
      </w:r>
      <w:r w:rsidRPr="00856C7C">
        <w:rPr>
          <w:color w:val="000000" w:themeColor="text1"/>
          <w:sz w:val="20"/>
          <w:szCs w:val="20"/>
        </w:rPr>
        <w:tab/>
        <w:t xml:space="preserve">The above prescription </w:t>
      </w:r>
      <w:r w:rsidR="00257709" w:rsidRPr="00856C7C">
        <w:rPr>
          <w:color w:val="000000" w:themeColor="text1"/>
          <w:sz w:val="20"/>
          <w:szCs w:val="20"/>
        </w:rPr>
        <w:t xml:space="preserve">shall </w:t>
      </w:r>
      <w:r w:rsidRPr="00856C7C">
        <w:rPr>
          <w:color w:val="000000" w:themeColor="text1"/>
          <w:sz w:val="20"/>
          <w:szCs w:val="20"/>
        </w:rPr>
        <w:t>come into effect after expiry of 15 days from the date of notification of the Order passed</w:t>
      </w:r>
      <w:r w:rsidR="00CE3019" w:rsidRPr="00856C7C">
        <w:rPr>
          <w:color w:val="000000" w:themeColor="text1"/>
          <w:sz w:val="20"/>
          <w:szCs w:val="20"/>
        </w:rPr>
        <w:t xml:space="preserve"> in the Gazette of India and</w:t>
      </w:r>
      <w:r w:rsidRPr="00856C7C">
        <w:rPr>
          <w:color w:val="000000" w:themeColor="text1"/>
          <w:sz w:val="20"/>
          <w:szCs w:val="20"/>
        </w:rPr>
        <w:t xml:space="preserve"> </w:t>
      </w:r>
      <w:r w:rsidR="00257709" w:rsidRPr="00856C7C">
        <w:rPr>
          <w:color w:val="000000" w:themeColor="text1"/>
          <w:sz w:val="20"/>
          <w:szCs w:val="20"/>
        </w:rPr>
        <w:t xml:space="preserve">shall </w:t>
      </w:r>
      <w:r w:rsidRPr="00856C7C">
        <w:rPr>
          <w:color w:val="000000" w:themeColor="text1"/>
          <w:sz w:val="20"/>
          <w:szCs w:val="20"/>
        </w:rPr>
        <w:t xml:space="preserve">remain </w:t>
      </w:r>
      <w:r w:rsidR="003D3F2E" w:rsidRPr="00856C7C">
        <w:rPr>
          <w:color w:val="000000" w:themeColor="text1"/>
          <w:sz w:val="20"/>
          <w:szCs w:val="20"/>
        </w:rPr>
        <w:t xml:space="preserve">valid </w:t>
      </w:r>
      <w:r w:rsidRPr="00856C7C">
        <w:rPr>
          <w:color w:val="000000" w:themeColor="text1"/>
          <w:sz w:val="20"/>
          <w:szCs w:val="20"/>
        </w:rPr>
        <w:t>co-terminus to the validity of the existing Scale of Rates of G</w:t>
      </w:r>
      <w:r w:rsidR="00CE3019" w:rsidRPr="00856C7C">
        <w:rPr>
          <w:color w:val="000000" w:themeColor="text1"/>
          <w:sz w:val="20"/>
          <w:szCs w:val="20"/>
        </w:rPr>
        <w:t xml:space="preserve">TIPL.  The approval accorded </w:t>
      </w:r>
      <w:r w:rsidR="00257709" w:rsidRPr="00856C7C">
        <w:rPr>
          <w:color w:val="000000" w:themeColor="text1"/>
          <w:sz w:val="20"/>
          <w:szCs w:val="20"/>
        </w:rPr>
        <w:t xml:space="preserve">shall </w:t>
      </w:r>
      <w:r w:rsidRPr="00856C7C">
        <w:rPr>
          <w:color w:val="000000" w:themeColor="text1"/>
          <w:sz w:val="20"/>
          <w:szCs w:val="20"/>
        </w:rPr>
        <w:t>automatically lapse thereafter unl</w:t>
      </w:r>
      <w:r w:rsidR="00CE3019" w:rsidRPr="00856C7C">
        <w:rPr>
          <w:color w:val="000000" w:themeColor="text1"/>
          <w:sz w:val="20"/>
          <w:szCs w:val="20"/>
        </w:rPr>
        <w:t>ess specifically extended by this</w:t>
      </w:r>
      <w:r w:rsidRPr="00856C7C">
        <w:rPr>
          <w:color w:val="000000" w:themeColor="text1"/>
          <w:sz w:val="20"/>
          <w:szCs w:val="20"/>
        </w:rPr>
        <w:t xml:space="preserve"> Authority.</w:t>
      </w:r>
      <w:r w:rsidR="00654307" w:rsidRPr="00856C7C">
        <w:rPr>
          <w:bCs w:val="0"/>
          <w:sz w:val="20"/>
          <w:szCs w:val="20"/>
          <w:lang w:val="en-GB"/>
        </w:rPr>
        <w:tab/>
      </w:r>
    </w:p>
    <w:p w:rsidR="00654307" w:rsidRPr="00856C7C" w:rsidRDefault="00654307" w:rsidP="00856C7C">
      <w:pPr>
        <w:tabs>
          <w:tab w:val="left" w:pos="720"/>
          <w:tab w:val="left" w:pos="1440"/>
        </w:tabs>
        <w:ind w:left="1440" w:hanging="1440"/>
        <w:contextualSpacing/>
        <w:jc w:val="both"/>
        <w:rPr>
          <w:rFonts w:cs="Times New Roman"/>
          <w:sz w:val="20"/>
          <w:szCs w:val="20"/>
        </w:rPr>
      </w:pPr>
    </w:p>
    <w:p w:rsidR="00130D3D" w:rsidRPr="00856C7C" w:rsidRDefault="00130D3D" w:rsidP="00856C7C">
      <w:pPr>
        <w:tabs>
          <w:tab w:val="left" w:pos="720"/>
          <w:tab w:val="left" w:pos="1440"/>
        </w:tabs>
        <w:ind w:left="1440" w:hanging="1440"/>
        <w:contextualSpacing/>
        <w:jc w:val="both"/>
        <w:rPr>
          <w:rFonts w:cs="Times New Roman"/>
          <w:sz w:val="20"/>
          <w:szCs w:val="20"/>
        </w:rPr>
      </w:pPr>
    </w:p>
    <w:p w:rsidR="002A3EE5" w:rsidRDefault="002A3EE5" w:rsidP="00856C7C">
      <w:pPr>
        <w:contextualSpacing/>
        <w:jc w:val="right"/>
        <w:rPr>
          <w:b/>
          <w:bCs w:val="0"/>
          <w:w w:val="150"/>
          <w:sz w:val="20"/>
          <w:szCs w:val="20"/>
        </w:rPr>
      </w:pPr>
    </w:p>
    <w:p w:rsidR="002A3EE5" w:rsidRDefault="002A3EE5" w:rsidP="00856C7C">
      <w:pPr>
        <w:contextualSpacing/>
        <w:jc w:val="right"/>
        <w:rPr>
          <w:b/>
          <w:bCs w:val="0"/>
          <w:w w:val="150"/>
          <w:sz w:val="20"/>
          <w:szCs w:val="20"/>
        </w:rPr>
      </w:pPr>
    </w:p>
    <w:p w:rsidR="00986A32" w:rsidRPr="00856C7C" w:rsidRDefault="00986A32" w:rsidP="00856C7C">
      <w:pPr>
        <w:contextualSpacing/>
        <w:jc w:val="right"/>
        <w:rPr>
          <w:b/>
          <w:bCs w:val="0"/>
          <w:w w:val="150"/>
          <w:sz w:val="20"/>
          <w:szCs w:val="20"/>
        </w:rPr>
      </w:pPr>
      <w:r w:rsidRPr="00856C7C">
        <w:rPr>
          <w:b/>
          <w:bCs w:val="0"/>
          <w:w w:val="150"/>
          <w:sz w:val="20"/>
          <w:szCs w:val="20"/>
        </w:rPr>
        <w:t>(T.S. Balasubramanian)</w:t>
      </w:r>
    </w:p>
    <w:p w:rsidR="00986A32" w:rsidRPr="00856C7C" w:rsidRDefault="00986A32" w:rsidP="00856C7C">
      <w:pPr>
        <w:ind w:left="2880" w:firstLine="720"/>
        <w:contextualSpacing/>
        <w:jc w:val="center"/>
        <w:rPr>
          <w:sz w:val="20"/>
          <w:szCs w:val="20"/>
        </w:rPr>
      </w:pPr>
      <w:r w:rsidRPr="00856C7C">
        <w:rPr>
          <w:sz w:val="20"/>
          <w:szCs w:val="20"/>
        </w:rPr>
        <w:t xml:space="preserve">     </w:t>
      </w:r>
      <w:r w:rsidRPr="00856C7C">
        <w:rPr>
          <w:sz w:val="20"/>
          <w:szCs w:val="20"/>
        </w:rPr>
        <w:tab/>
      </w:r>
      <w:r w:rsidRPr="00856C7C">
        <w:rPr>
          <w:sz w:val="20"/>
          <w:szCs w:val="20"/>
        </w:rPr>
        <w:tab/>
      </w:r>
      <w:r w:rsidR="00AE27D5" w:rsidRPr="00856C7C">
        <w:rPr>
          <w:sz w:val="20"/>
          <w:szCs w:val="20"/>
        </w:rPr>
        <w:tab/>
      </w:r>
      <w:r w:rsidR="00AE27D5" w:rsidRPr="00856C7C">
        <w:rPr>
          <w:sz w:val="20"/>
          <w:szCs w:val="20"/>
        </w:rPr>
        <w:tab/>
      </w:r>
      <w:r w:rsidR="00AE27D5" w:rsidRPr="00856C7C">
        <w:rPr>
          <w:sz w:val="20"/>
          <w:szCs w:val="20"/>
        </w:rPr>
        <w:tab/>
      </w:r>
      <w:r w:rsidRPr="00856C7C">
        <w:rPr>
          <w:sz w:val="20"/>
          <w:szCs w:val="20"/>
        </w:rPr>
        <w:t>Member (Finance)</w:t>
      </w:r>
    </w:p>
    <w:p w:rsidR="00654307" w:rsidRPr="00856C7C" w:rsidRDefault="00654307" w:rsidP="00856C7C">
      <w:pPr>
        <w:contextualSpacing/>
        <w:jc w:val="both"/>
        <w:rPr>
          <w:color w:val="000000"/>
          <w:sz w:val="20"/>
          <w:szCs w:val="20"/>
        </w:rPr>
      </w:pPr>
    </w:p>
    <w:sectPr w:rsidR="00654307" w:rsidRPr="00856C7C" w:rsidSect="00856C7C">
      <w:headerReference w:type="default" r:id="rId10"/>
      <w:pgSz w:w="11907" w:h="16840" w:code="9"/>
      <w:pgMar w:top="1080" w:right="927" w:bottom="1170" w:left="117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062" w:rsidRDefault="00552062" w:rsidP="00892CC9">
      <w:r>
        <w:separator/>
      </w:r>
    </w:p>
  </w:endnote>
  <w:endnote w:type="continuationSeparator" w:id="0">
    <w:p w:rsidR="00552062" w:rsidRDefault="00552062" w:rsidP="0089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aersk Headline">
    <w:altName w:val="Courier New"/>
    <w:charset w:val="00"/>
    <w:family w:val="auto"/>
    <w:pitch w:val="variable"/>
    <w:sig w:usb0="00000001" w:usb1="00000001" w:usb2="00000000" w:usb3="00000000" w:csb0="00000093" w:csb1="00000000"/>
  </w:font>
  <w:font w:name="Rupee Foradian">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062" w:rsidRDefault="00552062" w:rsidP="00892CC9">
      <w:r>
        <w:separator/>
      </w:r>
    </w:p>
  </w:footnote>
  <w:footnote w:type="continuationSeparator" w:id="0">
    <w:p w:rsidR="00552062" w:rsidRDefault="00552062" w:rsidP="00892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val="0"/>
        <w:sz w:val="20"/>
        <w:szCs w:val="20"/>
      </w:rPr>
      <w:id w:val="2130588871"/>
      <w:docPartObj>
        <w:docPartGallery w:val="Page Numbers (Top of Page)"/>
        <w:docPartUnique/>
      </w:docPartObj>
    </w:sdtPr>
    <w:sdtEndPr>
      <w:rPr>
        <w:noProof/>
      </w:rPr>
    </w:sdtEndPr>
    <w:sdtContent>
      <w:p w:rsidR="00EA5148" w:rsidRPr="00576160" w:rsidRDefault="00EA5148">
        <w:pPr>
          <w:pStyle w:val="Header"/>
          <w:jc w:val="center"/>
          <w:rPr>
            <w:b/>
            <w:bCs w:val="0"/>
            <w:sz w:val="20"/>
            <w:szCs w:val="20"/>
          </w:rPr>
        </w:pPr>
        <w:r w:rsidRPr="00576160">
          <w:rPr>
            <w:b/>
            <w:bCs w:val="0"/>
            <w:sz w:val="20"/>
            <w:szCs w:val="20"/>
          </w:rPr>
          <w:fldChar w:fldCharType="begin"/>
        </w:r>
        <w:r w:rsidRPr="00576160">
          <w:rPr>
            <w:b/>
            <w:bCs w:val="0"/>
            <w:sz w:val="20"/>
            <w:szCs w:val="20"/>
          </w:rPr>
          <w:instrText xml:space="preserve"> PAGE   \* MERGEFORMAT </w:instrText>
        </w:r>
        <w:r w:rsidRPr="00576160">
          <w:rPr>
            <w:b/>
            <w:bCs w:val="0"/>
            <w:sz w:val="20"/>
            <w:szCs w:val="20"/>
          </w:rPr>
          <w:fldChar w:fldCharType="separate"/>
        </w:r>
        <w:r w:rsidR="00C55DB1">
          <w:rPr>
            <w:b/>
            <w:bCs w:val="0"/>
            <w:noProof/>
            <w:sz w:val="20"/>
            <w:szCs w:val="20"/>
          </w:rPr>
          <w:t>- 5 -</w:t>
        </w:r>
        <w:r w:rsidRPr="00576160">
          <w:rPr>
            <w:b/>
            <w:bCs w:val="0"/>
            <w:noProof/>
            <w:sz w:val="20"/>
            <w:szCs w:val="20"/>
          </w:rPr>
          <w:fldChar w:fldCharType="end"/>
        </w:r>
      </w:p>
    </w:sdtContent>
  </w:sdt>
  <w:p w:rsidR="00EA5148" w:rsidRDefault="00EA5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4844"/>
    <w:multiLevelType w:val="hybridMultilevel"/>
    <w:tmpl w:val="42201B02"/>
    <w:lvl w:ilvl="0" w:tplc="04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 w15:restartNumberingAfterBreak="0">
    <w:nsid w:val="0CF965E1"/>
    <w:multiLevelType w:val="hybridMultilevel"/>
    <w:tmpl w:val="F02095DA"/>
    <w:lvl w:ilvl="0" w:tplc="D396B074">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76586C"/>
    <w:multiLevelType w:val="hybridMultilevel"/>
    <w:tmpl w:val="F02095DA"/>
    <w:lvl w:ilvl="0" w:tplc="D396B074">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DE06DB"/>
    <w:multiLevelType w:val="hybridMultilevel"/>
    <w:tmpl w:val="BF44409C"/>
    <w:lvl w:ilvl="0" w:tplc="82EE7096">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54950EC9"/>
    <w:multiLevelType w:val="hybridMultilevel"/>
    <w:tmpl w:val="036EF612"/>
    <w:lvl w:ilvl="0" w:tplc="CC822BE2">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8403F0"/>
    <w:multiLevelType w:val="hybridMultilevel"/>
    <w:tmpl w:val="F542AF18"/>
    <w:lvl w:ilvl="0" w:tplc="635C1A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50FC5"/>
    <w:multiLevelType w:val="hybridMultilevel"/>
    <w:tmpl w:val="5BC89E98"/>
    <w:lvl w:ilvl="0" w:tplc="18527BC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9806E85"/>
    <w:multiLevelType w:val="hybridMultilevel"/>
    <w:tmpl w:val="5BC89E98"/>
    <w:lvl w:ilvl="0" w:tplc="18527BC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7DA60DDE"/>
    <w:multiLevelType w:val="hybridMultilevel"/>
    <w:tmpl w:val="5BC89E98"/>
    <w:lvl w:ilvl="0" w:tplc="18527BC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2"/>
  </w:num>
  <w:num w:numId="3">
    <w:abstractNumId w:val="5"/>
  </w:num>
  <w:num w:numId="4">
    <w:abstractNumId w:val="8"/>
  </w:num>
  <w:num w:numId="5">
    <w:abstractNumId w:val="6"/>
  </w:num>
  <w:num w:numId="6">
    <w:abstractNumId w:val="1"/>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99"/>
    <w:rsid w:val="00000502"/>
    <w:rsid w:val="00002A71"/>
    <w:rsid w:val="00004753"/>
    <w:rsid w:val="00004CB8"/>
    <w:rsid w:val="00006896"/>
    <w:rsid w:val="000068A4"/>
    <w:rsid w:val="000073F7"/>
    <w:rsid w:val="00007A13"/>
    <w:rsid w:val="0001570D"/>
    <w:rsid w:val="00020A90"/>
    <w:rsid w:val="00021D1D"/>
    <w:rsid w:val="00022CB3"/>
    <w:rsid w:val="000245DC"/>
    <w:rsid w:val="00025F24"/>
    <w:rsid w:val="0002742B"/>
    <w:rsid w:val="00027E9C"/>
    <w:rsid w:val="00031272"/>
    <w:rsid w:val="00031626"/>
    <w:rsid w:val="00032E5C"/>
    <w:rsid w:val="00033CB1"/>
    <w:rsid w:val="00033EBF"/>
    <w:rsid w:val="0003416A"/>
    <w:rsid w:val="000364FF"/>
    <w:rsid w:val="00037429"/>
    <w:rsid w:val="000377B5"/>
    <w:rsid w:val="00040AAE"/>
    <w:rsid w:val="00040E57"/>
    <w:rsid w:val="00052CA0"/>
    <w:rsid w:val="00053BDB"/>
    <w:rsid w:val="00055380"/>
    <w:rsid w:val="000566F6"/>
    <w:rsid w:val="0006048A"/>
    <w:rsid w:val="00067E11"/>
    <w:rsid w:val="00070407"/>
    <w:rsid w:val="00071626"/>
    <w:rsid w:val="00071D99"/>
    <w:rsid w:val="000725FD"/>
    <w:rsid w:val="00073699"/>
    <w:rsid w:val="0007382C"/>
    <w:rsid w:val="00074CC1"/>
    <w:rsid w:val="00076136"/>
    <w:rsid w:val="000764B1"/>
    <w:rsid w:val="00080526"/>
    <w:rsid w:val="00083C37"/>
    <w:rsid w:val="00083CE7"/>
    <w:rsid w:val="00084391"/>
    <w:rsid w:val="0008467D"/>
    <w:rsid w:val="000873F6"/>
    <w:rsid w:val="00087482"/>
    <w:rsid w:val="00087AC4"/>
    <w:rsid w:val="00090432"/>
    <w:rsid w:val="00091162"/>
    <w:rsid w:val="000920E1"/>
    <w:rsid w:val="00094826"/>
    <w:rsid w:val="00095634"/>
    <w:rsid w:val="000956D9"/>
    <w:rsid w:val="000959D3"/>
    <w:rsid w:val="000A227F"/>
    <w:rsid w:val="000A37BE"/>
    <w:rsid w:val="000B00FC"/>
    <w:rsid w:val="000B11DB"/>
    <w:rsid w:val="000B1520"/>
    <w:rsid w:val="000B16EE"/>
    <w:rsid w:val="000B27C9"/>
    <w:rsid w:val="000B2EB5"/>
    <w:rsid w:val="000B557A"/>
    <w:rsid w:val="000B682E"/>
    <w:rsid w:val="000C2CB7"/>
    <w:rsid w:val="000C3A4F"/>
    <w:rsid w:val="000D0F25"/>
    <w:rsid w:val="000D7183"/>
    <w:rsid w:val="000E19DA"/>
    <w:rsid w:val="000E2DB5"/>
    <w:rsid w:val="000E403C"/>
    <w:rsid w:val="000E4279"/>
    <w:rsid w:val="000F174B"/>
    <w:rsid w:val="000F1F02"/>
    <w:rsid w:val="000F2C7C"/>
    <w:rsid w:val="000F3ECC"/>
    <w:rsid w:val="000F5788"/>
    <w:rsid w:val="000F770C"/>
    <w:rsid w:val="001017D9"/>
    <w:rsid w:val="00102B8F"/>
    <w:rsid w:val="00104218"/>
    <w:rsid w:val="001049C5"/>
    <w:rsid w:val="001056B6"/>
    <w:rsid w:val="00106CCC"/>
    <w:rsid w:val="00111189"/>
    <w:rsid w:val="00115E30"/>
    <w:rsid w:val="00115FCD"/>
    <w:rsid w:val="001171E3"/>
    <w:rsid w:val="001175E1"/>
    <w:rsid w:val="0012438F"/>
    <w:rsid w:val="00126019"/>
    <w:rsid w:val="001261F5"/>
    <w:rsid w:val="00126F2D"/>
    <w:rsid w:val="00127A25"/>
    <w:rsid w:val="00127BA4"/>
    <w:rsid w:val="00130D3D"/>
    <w:rsid w:val="001323B6"/>
    <w:rsid w:val="00134EFE"/>
    <w:rsid w:val="00136F3F"/>
    <w:rsid w:val="001373C1"/>
    <w:rsid w:val="00143779"/>
    <w:rsid w:val="00145632"/>
    <w:rsid w:val="0014643F"/>
    <w:rsid w:val="00153200"/>
    <w:rsid w:val="0015352B"/>
    <w:rsid w:val="001545F9"/>
    <w:rsid w:val="00156FBE"/>
    <w:rsid w:val="00161ADC"/>
    <w:rsid w:val="00162DFA"/>
    <w:rsid w:val="001658CB"/>
    <w:rsid w:val="00165DC7"/>
    <w:rsid w:val="0017244E"/>
    <w:rsid w:val="00173195"/>
    <w:rsid w:val="0017412B"/>
    <w:rsid w:val="00174782"/>
    <w:rsid w:val="00176859"/>
    <w:rsid w:val="00177A03"/>
    <w:rsid w:val="0018073F"/>
    <w:rsid w:val="00181C88"/>
    <w:rsid w:val="00181FA5"/>
    <w:rsid w:val="00184229"/>
    <w:rsid w:val="0018444E"/>
    <w:rsid w:val="00184518"/>
    <w:rsid w:val="00185606"/>
    <w:rsid w:val="00185644"/>
    <w:rsid w:val="0018677D"/>
    <w:rsid w:val="00187591"/>
    <w:rsid w:val="00187701"/>
    <w:rsid w:val="0018782F"/>
    <w:rsid w:val="00191694"/>
    <w:rsid w:val="00193AA6"/>
    <w:rsid w:val="00196D7F"/>
    <w:rsid w:val="0019767B"/>
    <w:rsid w:val="001A0F5F"/>
    <w:rsid w:val="001A49F0"/>
    <w:rsid w:val="001B05C9"/>
    <w:rsid w:val="001B2889"/>
    <w:rsid w:val="001B2B6B"/>
    <w:rsid w:val="001B47F4"/>
    <w:rsid w:val="001B5110"/>
    <w:rsid w:val="001B6E5A"/>
    <w:rsid w:val="001B73FF"/>
    <w:rsid w:val="001C1665"/>
    <w:rsid w:val="001C1B90"/>
    <w:rsid w:val="001C3CAC"/>
    <w:rsid w:val="001C4195"/>
    <w:rsid w:val="001C4254"/>
    <w:rsid w:val="001C4461"/>
    <w:rsid w:val="001C4564"/>
    <w:rsid w:val="001C4D50"/>
    <w:rsid w:val="001D03FA"/>
    <w:rsid w:val="001D17B5"/>
    <w:rsid w:val="001D2637"/>
    <w:rsid w:val="001D3B0E"/>
    <w:rsid w:val="001D44E2"/>
    <w:rsid w:val="001D7834"/>
    <w:rsid w:val="001E41AB"/>
    <w:rsid w:val="001E43D7"/>
    <w:rsid w:val="001E53C4"/>
    <w:rsid w:val="001E6489"/>
    <w:rsid w:val="001E663A"/>
    <w:rsid w:val="001E70ED"/>
    <w:rsid w:val="001E7997"/>
    <w:rsid w:val="001F0ED7"/>
    <w:rsid w:val="001F1E1E"/>
    <w:rsid w:val="001F3B16"/>
    <w:rsid w:val="001F5644"/>
    <w:rsid w:val="001F7044"/>
    <w:rsid w:val="00200032"/>
    <w:rsid w:val="00201309"/>
    <w:rsid w:val="002025C5"/>
    <w:rsid w:val="00202715"/>
    <w:rsid w:val="0020479B"/>
    <w:rsid w:val="00204D8A"/>
    <w:rsid w:val="002067C8"/>
    <w:rsid w:val="00206D8E"/>
    <w:rsid w:val="00206DC6"/>
    <w:rsid w:val="00210DBC"/>
    <w:rsid w:val="0021234C"/>
    <w:rsid w:val="00213165"/>
    <w:rsid w:val="00215A96"/>
    <w:rsid w:val="00215F45"/>
    <w:rsid w:val="00220AF2"/>
    <w:rsid w:val="002215D6"/>
    <w:rsid w:val="00221E3C"/>
    <w:rsid w:val="00224231"/>
    <w:rsid w:val="00231110"/>
    <w:rsid w:val="00233A88"/>
    <w:rsid w:val="00233E92"/>
    <w:rsid w:val="0023480B"/>
    <w:rsid w:val="002351C6"/>
    <w:rsid w:val="002358EE"/>
    <w:rsid w:val="002361FB"/>
    <w:rsid w:val="002427F6"/>
    <w:rsid w:val="00243611"/>
    <w:rsid w:val="00244BC4"/>
    <w:rsid w:val="0025092F"/>
    <w:rsid w:val="002522D5"/>
    <w:rsid w:val="0025456D"/>
    <w:rsid w:val="00256BEC"/>
    <w:rsid w:val="00256F25"/>
    <w:rsid w:val="00257577"/>
    <w:rsid w:val="00257709"/>
    <w:rsid w:val="0026001A"/>
    <w:rsid w:val="0026073C"/>
    <w:rsid w:val="002616CF"/>
    <w:rsid w:val="0026394B"/>
    <w:rsid w:val="002678A4"/>
    <w:rsid w:val="002679D9"/>
    <w:rsid w:val="002714E0"/>
    <w:rsid w:val="002718B0"/>
    <w:rsid w:val="00271ED5"/>
    <w:rsid w:val="00272FF3"/>
    <w:rsid w:val="00274E1D"/>
    <w:rsid w:val="0027579A"/>
    <w:rsid w:val="002757B6"/>
    <w:rsid w:val="00281DDB"/>
    <w:rsid w:val="00287458"/>
    <w:rsid w:val="00287F05"/>
    <w:rsid w:val="00292A42"/>
    <w:rsid w:val="00295B15"/>
    <w:rsid w:val="002A0971"/>
    <w:rsid w:val="002A2149"/>
    <w:rsid w:val="002A3EE5"/>
    <w:rsid w:val="002A3F8D"/>
    <w:rsid w:val="002B0ACC"/>
    <w:rsid w:val="002B308B"/>
    <w:rsid w:val="002B437D"/>
    <w:rsid w:val="002B621D"/>
    <w:rsid w:val="002B6610"/>
    <w:rsid w:val="002C043E"/>
    <w:rsid w:val="002C58FD"/>
    <w:rsid w:val="002C5A0A"/>
    <w:rsid w:val="002C5C50"/>
    <w:rsid w:val="002C5FA2"/>
    <w:rsid w:val="002D1E49"/>
    <w:rsid w:val="002D25BB"/>
    <w:rsid w:val="002D30C6"/>
    <w:rsid w:val="002D3B38"/>
    <w:rsid w:val="002D41BB"/>
    <w:rsid w:val="002D609C"/>
    <w:rsid w:val="002D6E02"/>
    <w:rsid w:val="002D7351"/>
    <w:rsid w:val="002D7A7A"/>
    <w:rsid w:val="002D7DD6"/>
    <w:rsid w:val="002E2BB3"/>
    <w:rsid w:val="002E4FAE"/>
    <w:rsid w:val="002E534C"/>
    <w:rsid w:val="002F345F"/>
    <w:rsid w:val="002F49D1"/>
    <w:rsid w:val="002F4CC7"/>
    <w:rsid w:val="002F6F3D"/>
    <w:rsid w:val="003004B4"/>
    <w:rsid w:val="003025B6"/>
    <w:rsid w:val="00303429"/>
    <w:rsid w:val="00303896"/>
    <w:rsid w:val="0030408B"/>
    <w:rsid w:val="00307E1C"/>
    <w:rsid w:val="00310596"/>
    <w:rsid w:val="003105A9"/>
    <w:rsid w:val="00315A4F"/>
    <w:rsid w:val="00320F4D"/>
    <w:rsid w:val="00322524"/>
    <w:rsid w:val="00325179"/>
    <w:rsid w:val="003331D1"/>
    <w:rsid w:val="003333A8"/>
    <w:rsid w:val="00335DC9"/>
    <w:rsid w:val="00337B17"/>
    <w:rsid w:val="00341B09"/>
    <w:rsid w:val="0034389A"/>
    <w:rsid w:val="0034553E"/>
    <w:rsid w:val="00345956"/>
    <w:rsid w:val="0034640C"/>
    <w:rsid w:val="003473C3"/>
    <w:rsid w:val="00352466"/>
    <w:rsid w:val="00352474"/>
    <w:rsid w:val="00352911"/>
    <w:rsid w:val="00353892"/>
    <w:rsid w:val="00362FDA"/>
    <w:rsid w:val="00366316"/>
    <w:rsid w:val="003670BB"/>
    <w:rsid w:val="0037109D"/>
    <w:rsid w:val="003716F1"/>
    <w:rsid w:val="0037701E"/>
    <w:rsid w:val="00380C57"/>
    <w:rsid w:val="003814E1"/>
    <w:rsid w:val="00381EC4"/>
    <w:rsid w:val="00382446"/>
    <w:rsid w:val="0038268A"/>
    <w:rsid w:val="00382B6D"/>
    <w:rsid w:val="00385462"/>
    <w:rsid w:val="0038674F"/>
    <w:rsid w:val="00386D40"/>
    <w:rsid w:val="00390246"/>
    <w:rsid w:val="003902CB"/>
    <w:rsid w:val="00391F9E"/>
    <w:rsid w:val="00391FEF"/>
    <w:rsid w:val="0039274B"/>
    <w:rsid w:val="00394B27"/>
    <w:rsid w:val="00394F2E"/>
    <w:rsid w:val="00395B26"/>
    <w:rsid w:val="00396C34"/>
    <w:rsid w:val="003A0936"/>
    <w:rsid w:val="003A1B09"/>
    <w:rsid w:val="003A3503"/>
    <w:rsid w:val="003A4BFE"/>
    <w:rsid w:val="003A60F4"/>
    <w:rsid w:val="003A688A"/>
    <w:rsid w:val="003A6D69"/>
    <w:rsid w:val="003B2C6C"/>
    <w:rsid w:val="003B42C9"/>
    <w:rsid w:val="003B6331"/>
    <w:rsid w:val="003C1CED"/>
    <w:rsid w:val="003C3687"/>
    <w:rsid w:val="003C3E50"/>
    <w:rsid w:val="003C7833"/>
    <w:rsid w:val="003D2C92"/>
    <w:rsid w:val="003D3F2E"/>
    <w:rsid w:val="003D41EE"/>
    <w:rsid w:val="003D4209"/>
    <w:rsid w:val="003D4363"/>
    <w:rsid w:val="003D45D4"/>
    <w:rsid w:val="003E0BE2"/>
    <w:rsid w:val="003E1381"/>
    <w:rsid w:val="003E1B39"/>
    <w:rsid w:val="003E26D9"/>
    <w:rsid w:val="003E512A"/>
    <w:rsid w:val="003E5E48"/>
    <w:rsid w:val="003E78E5"/>
    <w:rsid w:val="003E7EA8"/>
    <w:rsid w:val="003F34C1"/>
    <w:rsid w:val="003F6653"/>
    <w:rsid w:val="003F7839"/>
    <w:rsid w:val="00400996"/>
    <w:rsid w:val="0040320D"/>
    <w:rsid w:val="00403303"/>
    <w:rsid w:val="00410A90"/>
    <w:rsid w:val="00411FDC"/>
    <w:rsid w:val="00412AFD"/>
    <w:rsid w:val="004167BC"/>
    <w:rsid w:val="00416A5F"/>
    <w:rsid w:val="004207B5"/>
    <w:rsid w:val="0042596A"/>
    <w:rsid w:val="00425A2E"/>
    <w:rsid w:val="00430877"/>
    <w:rsid w:val="00430AE4"/>
    <w:rsid w:val="0043151D"/>
    <w:rsid w:val="00435A3B"/>
    <w:rsid w:val="004360C1"/>
    <w:rsid w:val="00440502"/>
    <w:rsid w:val="004447D6"/>
    <w:rsid w:val="00444E22"/>
    <w:rsid w:val="00444E74"/>
    <w:rsid w:val="0045080B"/>
    <w:rsid w:val="00451E47"/>
    <w:rsid w:val="00452D3E"/>
    <w:rsid w:val="00453725"/>
    <w:rsid w:val="00455604"/>
    <w:rsid w:val="0045783A"/>
    <w:rsid w:val="004625EE"/>
    <w:rsid w:val="00463015"/>
    <w:rsid w:val="00463F17"/>
    <w:rsid w:val="00464AE7"/>
    <w:rsid w:val="00465D04"/>
    <w:rsid w:val="004706E6"/>
    <w:rsid w:val="00472D6E"/>
    <w:rsid w:val="004807E1"/>
    <w:rsid w:val="004811CD"/>
    <w:rsid w:val="0048690A"/>
    <w:rsid w:val="00486FEB"/>
    <w:rsid w:val="004901DE"/>
    <w:rsid w:val="004907B8"/>
    <w:rsid w:val="00490920"/>
    <w:rsid w:val="004912AC"/>
    <w:rsid w:val="00492B9A"/>
    <w:rsid w:val="00493239"/>
    <w:rsid w:val="00493E61"/>
    <w:rsid w:val="004960AF"/>
    <w:rsid w:val="004A6386"/>
    <w:rsid w:val="004A6C03"/>
    <w:rsid w:val="004B19FF"/>
    <w:rsid w:val="004B519F"/>
    <w:rsid w:val="004D0030"/>
    <w:rsid w:val="004D03BF"/>
    <w:rsid w:val="004D14C5"/>
    <w:rsid w:val="004D23DD"/>
    <w:rsid w:val="004D241C"/>
    <w:rsid w:val="004D25B5"/>
    <w:rsid w:val="004D39F4"/>
    <w:rsid w:val="004D510A"/>
    <w:rsid w:val="004D634B"/>
    <w:rsid w:val="004D643B"/>
    <w:rsid w:val="004D6F7F"/>
    <w:rsid w:val="004E0487"/>
    <w:rsid w:val="004E350B"/>
    <w:rsid w:val="004E3E97"/>
    <w:rsid w:val="004E50A5"/>
    <w:rsid w:val="004E534D"/>
    <w:rsid w:val="004E6178"/>
    <w:rsid w:val="004E7020"/>
    <w:rsid w:val="004E7757"/>
    <w:rsid w:val="004E786C"/>
    <w:rsid w:val="004F0EC6"/>
    <w:rsid w:val="004F15B0"/>
    <w:rsid w:val="004F1EBA"/>
    <w:rsid w:val="004F2097"/>
    <w:rsid w:val="004F332A"/>
    <w:rsid w:val="004F3454"/>
    <w:rsid w:val="004F607B"/>
    <w:rsid w:val="00501283"/>
    <w:rsid w:val="00503F0A"/>
    <w:rsid w:val="00505250"/>
    <w:rsid w:val="00506DAB"/>
    <w:rsid w:val="005140DD"/>
    <w:rsid w:val="00517EE5"/>
    <w:rsid w:val="005219CC"/>
    <w:rsid w:val="0052338F"/>
    <w:rsid w:val="00524F89"/>
    <w:rsid w:val="00525475"/>
    <w:rsid w:val="00530609"/>
    <w:rsid w:val="00530CCF"/>
    <w:rsid w:val="00531762"/>
    <w:rsid w:val="00532B2E"/>
    <w:rsid w:val="00532C15"/>
    <w:rsid w:val="00536D8A"/>
    <w:rsid w:val="00537CCF"/>
    <w:rsid w:val="005402D8"/>
    <w:rsid w:val="00540E0B"/>
    <w:rsid w:val="00541EAC"/>
    <w:rsid w:val="005436C5"/>
    <w:rsid w:val="00551511"/>
    <w:rsid w:val="00552062"/>
    <w:rsid w:val="00553718"/>
    <w:rsid w:val="00553D43"/>
    <w:rsid w:val="00560F1B"/>
    <w:rsid w:val="00562475"/>
    <w:rsid w:val="005635F9"/>
    <w:rsid w:val="0056456A"/>
    <w:rsid w:val="00572849"/>
    <w:rsid w:val="00573472"/>
    <w:rsid w:val="00574ED4"/>
    <w:rsid w:val="00576160"/>
    <w:rsid w:val="00582CD9"/>
    <w:rsid w:val="00584421"/>
    <w:rsid w:val="00587A50"/>
    <w:rsid w:val="0059005A"/>
    <w:rsid w:val="00591B74"/>
    <w:rsid w:val="00593121"/>
    <w:rsid w:val="00593654"/>
    <w:rsid w:val="005942A3"/>
    <w:rsid w:val="005951A4"/>
    <w:rsid w:val="00595A89"/>
    <w:rsid w:val="0059757F"/>
    <w:rsid w:val="005A3366"/>
    <w:rsid w:val="005A60B7"/>
    <w:rsid w:val="005A75DB"/>
    <w:rsid w:val="005B0802"/>
    <w:rsid w:val="005B1DAD"/>
    <w:rsid w:val="005B2105"/>
    <w:rsid w:val="005B4305"/>
    <w:rsid w:val="005B4DED"/>
    <w:rsid w:val="005B5A63"/>
    <w:rsid w:val="005B6DDA"/>
    <w:rsid w:val="005C3DBE"/>
    <w:rsid w:val="005C5302"/>
    <w:rsid w:val="005C5862"/>
    <w:rsid w:val="005C6109"/>
    <w:rsid w:val="005D6CC9"/>
    <w:rsid w:val="005D6FDD"/>
    <w:rsid w:val="005E09C2"/>
    <w:rsid w:val="005E23BF"/>
    <w:rsid w:val="005E2492"/>
    <w:rsid w:val="005E2AA0"/>
    <w:rsid w:val="005E47A4"/>
    <w:rsid w:val="005E6BC2"/>
    <w:rsid w:val="005E7EA0"/>
    <w:rsid w:val="005F1C55"/>
    <w:rsid w:val="005F369A"/>
    <w:rsid w:val="005F39B1"/>
    <w:rsid w:val="005F3FB9"/>
    <w:rsid w:val="005F402B"/>
    <w:rsid w:val="005F5E65"/>
    <w:rsid w:val="005F6C59"/>
    <w:rsid w:val="005F7FC0"/>
    <w:rsid w:val="00605D5B"/>
    <w:rsid w:val="0060661A"/>
    <w:rsid w:val="00606879"/>
    <w:rsid w:val="00611551"/>
    <w:rsid w:val="00612295"/>
    <w:rsid w:val="0061324F"/>
    <w:rsid w:val="00613545"/>
    <w:rsid w:val="0061368E"/>
    <w:rsid w:val="006144B7"/>
    <w:rsid w:val="00614507"/>
    <w:rsid w:val="00615AEE"/>
    <w:rsid w:val="00620DD6"/>
    <w:rsid w:val="006211CC"/>
    <w:rsid w:val="0062219E"/>
    <w:rsid w:val="006221B4"/>
    <w:rsid w:val="00622E2D"/>
    <w:rsid w:val="006243C3"/>
    <w:rsid w:val="00624624"/>
    <w:rsid w:val="00624A36"/>
    <w:rsid w:val="00625237"/>
    <w:rsid w:val="006255FF"/>
    <w:rsid w:val="00626029"/>
    <w:rsid w:val="00626092"/>
    <w:rsid w:val="0063081A"/>
    <w:rsid w:val="0063132C"/>
    <w:rsid w:val="00636782"/>
    <w:rsid w:val="00637053"/>
    <w:rsid w:val="00637105"/>
    <w:rsid w:val="0064017D"/>
    <w:rsid w:val="006423E6"/>
    <w:rsid w:val="00643B49"/>
    <w:rsid w:val="006449C6"/>
    <w:rsid w:val="006449CA"/>
    <w:rsid w:val="006463A5"/>
    <w:rsid w:val="006509ED"/>
    <w:rsid w:val="006519C6"/>
    <w:rsid w:val="00651D47"/>
    <w:rsid w:val="0065246A"/>
    <w:rsid w:val="0065313D"/>
    <w:rsid w:val="00653208"/>
    <w:rsid w:val="006535E5"/>
    <w:rsid w:val="00654307"/>
    <w:rsid w:val="00654AF8"/>
    <w:rsid w:val="00654C67"/>
    <w:rsid w:val="00655469"/>
    <w:rsid w:val="0065571F"/>
    <w:rsid w:val="00657396"/>
    <w:rsid w:val="00657774"/>
    <w:rsid w:val="00665A7C"/>
    <w:rsid w:val="006663A3"/>
    <w:rsid w:val="00667488"/>
    <w:rsid w:val="00667D61"/>
    <w:rsid w:val="00671D83"/>
    <w:rsid w:val="00674DA2"/>
    <w:rsid w:val="00680073"/>
    <w:rsid w:val="00682090"/>
    <w:rsid w:val="00682A71"/>
    <w:rsid w:val="00683A31"/>
    <w:rsid w:val="0068682A"/>
    <w:rsid w:val="006876C7"/>
    <w:rsid w:val="00690AB9"/>
    <w:rsid w:val="00691DED"/>
    <w:rsid w:val="006922BD"/>
    <w:rsid w:val="0069356A"/>
    <w:rsid w:val="006A345F"/>
    <w:rsid w:val="006A5481"/>
    <w:rsid w:val="006A60F7"/>
    <w:rsid w:val="006A688D"/>
    <w:rsid w:val="006A72A2"/>
    <w:rsid w:val="006A75F7"/>
    <w:rsid w:val="006B2375"/>
    <w:rsid w:val="006B32CF"/>
    <w:rsid w:val="006B440B"/>
    <w:rsid w:val="006B5540"/>
    <w:rsid w:val="006B7DB2"/>
    <w:rsid w:val="006C1943"/>
    <w:rsid w:val="006C23DE"/>
    <w:rsid w:val="006C267F"/>
    <w:rsid w:val="006C2AED"/>
    <w:rsid w:val="006C705C"/>
    <w:rsid w:val="006D13A2"/>
    <w:rsid w:val="006D1A17"/>
    <w:rsid w:val="006D255C"/>
    <w:rsid w:val="006D409C"/>
    <w:rsid w:val="006D4F49"/>
    <w:rsid w:val="006D5511"/>
    <w:rsid w:val="006D6550"/>
    <w:rsid w:val="006D7D6D"/>
    <w:rsid w:val="006E4BBC"/>
    <w:rsid w:val="006E607D"/>
    <w:rsid w:val="006F0374"/>
    <w:rsid w:val="006F1941"/>
    <w:rsid w:val="006F255B"/>
    <w:rsid w:val="006F304F"/>
    <w:rsid w:val="006F38FB"/>
    <w:rsid w:val="006F5F47"/>
    <w:rsid w:val="0070263F"/>
    <w:rsid w:val="007029BB"/>
    <w:rsid w:val="00703219"/>
    <w:rsid w:val="00703C44"/>
    <w:rsid w:val="0070616B"/>
    <w:rsid w:val="00707CFD"/>
    <w:rsid w:val="007103D3"/>
    <w:rsid w:val="00710CE8"/>
    <w:rsid w:val="00713680"/>
    <w:rsid w:val="0071490D"/>
    <w:rsid w:val="00724992"/>
    <w:rsid w:val="00725125"/>
    <w:rsid w:val="00725195"/>
    <w:rsid w:val="007267DB"/>
    <w:rsid w:val="00726F0D"/>
    <w:rsid w:val="007314DA"/>
    <w:rsid w:val="00732C39"/>
    <w:rsid w:val="00732DFD"/>
    <w:rsid w:val="00740785"/>
    <w:rsid w:val="00742B08"/>
    <w:rsid w:val="00743D24"/>
    <w:rsid w:val="007452E1"/>
    <w:rsid w:val="00745310"/>
    <w:rsid w:val="0074701B"/>
    <w:rsid w:val="00747404"/>
    <w:rsid w:val="00751057"/>
    <w:rsid w:val="007548F2"/>
    <w:rsid w:val="007549D6"/>
    <w:rsid w:val="00760316"/>
    <w:rsid w:val="00764809"/>
    <w:rsid w:val="0076619A"/>
    <w:rsid w:val="00767023"/>
    <w:rsid w:val="007702DE"/>
    <w:rsid w:val="00770840"/>
    <w:rsid w:val="00774CFE"/>
    <w:rsid w:val="00774F39"/>
    <w:rsid w:val="007759F6"/>
    <w:rsid w:val="0077679C"/>
    <w:rsid w:val="00780E54"/>
    <w:rsid w:val="007816A4"/>
    <w:rsid w:val="0078202E"/>
    <w:rsid w:val="00787F4A"/>
    <w:rsid w:val="0079272E"/>
    <w:rsid w:val="00793573"/>
    <w:rsid w:val="00793E51"/>
    <w:rsid w:val="007968B2"/>
    <w:rsid w:val="00796D0D"/>
    <w:rsid w:val="00797C8B"/>
    <w:rsid w:val="007A1985"/>
    <w:rsid w:val="007A1B45"/>
    <w:rsid w:val="007A51AF"/>
    <w:rsid w:val="007A5BFF"/>
    <w:rsid w:val="007B4E4C"/>
    <w:rsid w:val="007B7841"/>
    <w:rsid w:val="007B7C66"/>
    <w:rsid w:val="007C135D"/>
    <w:rsid w:val="007C1A7C"/>
    <w:rsid w:val="007C324B"/>
    <w:rsid w:val="007C4FAB"/>
    <w:rsid w:val="007C5600"/>
    <w:rsid w:val="007C5732"/>
    <w:rsid w:val="007C72F3"/>
    <w:rsid w:val="007C7E03"/>
    <w:rsid w:val="007D0925"/>
    <w:rsid w:val="007D3703"/>
    <w:rsid w:val="007D39BC"/>
    <w:rsid w:val="007D7083"/>
    <w:rsid w:val="007E0C47"/>
    <w:rsid w:val="007E39E5"/>
    <w:rsid w:val="007E3A73"/>
    <w:rsid w:val="007E493F"/>
    <w:rsid w:val="007E4EAB"/>
    <w:rsid w:val="007E5612"/>
    <w:rsid w:val="007E574F"/>
    <w:rsid w:val="007E7B54"/>
    <w:rsid w:val="007E7E42"/>
    <w:rsid w:val="007F0A00"/>
    <w:rsid w:val="007F2BE4"/>
    <w:rsid w:val="007F3719"/>
    <w:rsid w:val="007F56A3"/>
    <w:rsid w:val="007F5859"/>
    <w:rsid w:val="0080280D"/>
    <w:rsid w:val="0080294D"/>
    <w:rsid w:val="00802F0B"/>
    <w:rsid w:val="0080539B"/>
    <w:rsid w:val="00805A8C"/>
    <w:rsid w:val="00807CA5"/>
    <w:rsid w:val="008107F4"/>
    <w:rsid w:val="0081088A"/>
    <w:rsid w:val="00810B9E"/>
    <w:rsid w:val="008132FB"/>
    <w:rsid w:val="00814B9D"/>
    <w:rsid w:val="00815F97"/>
    <w:rsid w:val="008172B4"/>
    <w:rsid w:val="00820ED7"/>
    <w:rsid w:val="0082379C"/>
    <w:rsid w:val="00823C61"/>
    <w:rsid w:val="00825D7F"/>
    <w:rsid w:val="00826DFA"/>
    <w:rsid w:val="00826E48"/>
    <w:rsid w:val="00827990"/>
    <w:rsid w:val="00830A47"/>
    <w:rsid w:val="008330DA"/>
    <w:rsid w:val="00833BD8"/>
    <w:rsid w:val="008355C1"/>
    <w:rsid w:val="00836252"/>
    <w:rsid w:val="00836A0A"/>
    <w:rsid w:val="008452DC"/>
    <w:rsid w:val="0085009E"/>
    <w:rsid w:val="00850DFF"/>
    <w:rsid w:val="0085206F"/>
    <w:rsid w:val="00852120"/>
    <w:rsid w:val="008538FB"/>
    <w:rsid w:val="008557DB"/>
    <w:rsid w:val="00855CC6"/>
    <w:rsid w:val="00856C7C"/>
    <w:rsid w:val="008613EE"/>
    <w:rsid w:val="00861CED"/>
    <w:rsid w:val="0086432D"/>
    <w:rsid w:val="008643A6"/>
    <w:rsid w:val="0086491F"/>
    <w:rsid w:val="008650CD"/>
    <w:rsid w:val="00873754"/>
    <w:rsid w:val="00874189"/>
    <w:rsid w:val="00875826"/>
    <w:rsid w:val="00876746"/>
    <w:rsid w:val="00881269"/>
    <w:rsid w:val="008813FB"/>
    <w:rsid w:val="00881F44"/>
    <w:rsid w:val="00884433"/>
    <w:rsid w:val="00886DF8"/>
    <w:rsid w:val="008920ED"/>
    <w:rsid w:val="0089294F"/>
    <w:rsid w:val="00892CC9"/>
    <w:rsid w:val="00892D14"/>
    <w:rsid w:val="008939D7"/>
    <w:rsid w:val="008953FB"/>
    <w:rsid w:val="00895AB6"/>
    <w:rsid w:val="00895EBC"/>
    <w:rsid w:val="00896B2C"/>
    <w:rsid w:val="00896CE4"/>
    <w:rsid w:val="00897923"/>
    <w:rsid w:val="008A0DFC"/>
    <w:rsid w:val="008A149B"/>
    <w:rsid w:val="008A15FC"/>
    <w:rsid w:val="008A1D8B"/>
    <w:rsid w:val="008A3239"/>
    <w:rsid w:val="008A3857"/>
    <w:rsid w:val="008A449B"/>
    <w:rsid w:val="008A4CBC"/>
    <w:rsid w:val="008A5571"/>
    <w:rsid w:val="008A7EE3"/>
    <w:rsid w:val="008B045F"/>
    <w:rsid w:val="008B23BD"/>
    <w:rsid w:val="008B4D39"/>
    <w:rsid w:val="008B5D81"/>
    <w:rsid w:val="008B738A"/>
    <w:rsid w:val="008C0C90"/>
    <w:rsid w:val="008C1B74"/>
    <w:rsid w:val="008C33F5"/>
    <w:rsid w:val="008C4D00"/>
    <w:rsid w:val="008C5008"/>
    <w:rsid w:val="008C6793"/>
    <w:rsid w:val="008D1240"/>
    <w:rsid w:val="008D4E05"/>
    <w:rsid w:val="008D4FB8"/>
    <w:rsid w:val="008D6C67"/>
    <w:rsid w:val="008D7BB3"/>
    <w:rsid w:val="008E4617"/>
    <w:rsid w:val="008E51E5"/>
    <w:rsid w:val="008E53F5"/>
    <w:rsid w:val="008E57ED"/>
    <w:rsid w:val="008E5B2A"/>
    <w:rsid w:val="008E6DB1"/>
    <w:rsid w:val="008F04CD"/>
    <w:rsid w:val="008F1145"/>
    <w:rsid w:val="008F232C"/>
    <w:rsid w:val="00900E33"/>
    <w:rsid w:val="00901DE5"/>
    <w:rsid w:val="00904051"/>
    <w:rsid w:val="00905936"/>
    <w:rsid w:val="0090736A"/>
    <w:rsid w:val="00911324"/>
    <w:rsid w:val="00911AB3"/>
    <w:rsid w:val="00913089"/>
    <w:rsid w:val="009133CF"/>
    <w:rsid w:val="00914DC1"/>
    <w:rsid w:val="00916091"/>
    <w:rsid w:val="009200DD"/>
    <w:rsid w:val="0092050D"/>
    <w:rsid w:val="00922B28"/>
    <w:rsid w:val="00922EB5"/>
    <w:rsid w:val="00923707"/>
    <w:rsid w:val="00925D23"/>
    <w:rsid w:val="00927153"/>
    <w:rsid w:val="00930F4A"/>
    <w:rsid w:val="00931C11"/>
    <w:rsid w:val="009364D9"/>
    <w:rsid w:val="00937DA8"/>
    <w:rsid w:val="00942C12"/>
    <w:rsid w:val="00944328"/>
    <w:rsid w:val="00944CD7"/>
    <w:rsid w:val="00945478"/>
    <w:rsid w:val="00945AA3"/>
    <w:rsid w:val="00947F69"/>
    <w:rsid w:val="009502FB"/>
    <w:rsid w:val="0095117D"/>
    <w:rsid w:val="009520D1"/>
    <w:rsid w:val="009534D0"/>
    <w:rsid w:val="009566FF"/>
    <w:rsid w:val="0096165D"/>
    <w:rsid w:val="00962CF6"/>
    <w:rsid w:val="00962EA0"/>
    <w:rsid w:val="00964CE3"/>
    <w:rsid w:val="00966C5E"/>
    <w:rsid w:val="0097071A"/>
    <w:rsid w:val="00974AE8"/>
    <w:rsid w:val="009771A1"/>
    <w:rsid w:val="00977877"/>
    <w:rsid w:val="00977AC6"/>
    <w:rsid w:val="0098037A"/>
    <w:rsid w:val="0098109B"/>
    <w:rsid w:val="00981136"/>
    <w:rsid w:val="0098222A"/>
    <w:rsid w:val="0098259D"/>
    <w:rsid w:val="00983C00"/>
    <w:rsid w:val="00983F91"/>
    <w:rsid w:val="00986A32"/>
    <w:rsid w:val="0099131F"/>
    <w:rsid w:val="00991D6E"/>
    <w:rsid w:val="0099793F"/>
    <w:rsid w:val="00997944"/>
    <w:rsid w:val="009A2480"/>
    <w:rsid w:val="009A4851"/>
    <w:rsid w:val="009A530A"/>
    <w:rsid w:val="009B0C97"/>
    <w:rsid w:val="009B0D8A"/>
    <w:rsid w:val="009B30BF"/>
    <w:rsid w:val="009B38D3"/>
    <w:rsid w:val="009B7F55"/>
    <w:rsid w:val="009C1510"/>
    <w:rsid w:val="009C1B9D"/>
    <w:rsid w:val="009C2E23"/>
    <w:rsid w:val="009C50E2"/>
    <w:rsid w:val="009C5AEE"/>
    <w:rsid w:val="009C602E"/>
    <w:rsid w:val="009C7FC7"/>
    <w:rsid w:val="009D0776"/>
    <w:rsid w:val="009D0988"/>
    <w:rsid w:val="009D0E7A"/>
    <w:rsid w:val="009D23C7"/>
    <w:rsid w:val="009D26F8"/>
    <w:rsid w:val="009D3377"/>
    <w:rsid w:val="009D3740"/>
    <w:rsid w:val="009D424B"/>
    <w:rsid w:val="009D47B6"/>
    <w:rsid w:val="009D7D8B"/>
    <w:rsid w:val="009E056D"/>
    <w:rsid w:val="009E082E"/>
    <w:rsid w:val="009E1969"/>
    <w:rsid w:val="009E1A7D"/>
    <w:rsid w:val="009E1FF6"/>
    <w:rsid w:val="009E30E6"/>
    <w:rsid w:val="009E6C8D"/>
    <w:rsid w:val="009E73D0"/>
    <w:rsid w:val="009F22E4"/>
    <w:rsid w:val="009F2BD7"/>
    <w:rsid w:val="009F3706"/>
    <w:rsid w:val="009F713E"/>
    <w:rsid w:val="009F737B"/>
    <w:rsid w:val="00A04C61"/>
    <w:rsid w:val="00A072F6"/>
    <w:rsid w:val="00A077D2"/>
    <w:rsid w:val="00A07B97"/>
    <w:rsid w:val="00A07EAF"/>
    <w:rsid w:val="00A173C4"/>
    <w:rsid w:val="00A174E3"/>
    <w:rsid w:val="00A203E3"/>
    <w:rsid w:val="00A217A1"/>
    <w:rsid w:val="00A21916"/>
    <w:rsid w:val="00A2319A"/>
    <w:rsid w:val="00A245E2"/>
    <w:rsid w:val="00A247A0"/>
    <w:rsid w:val="00A252D9"/>
    <w:rsid w:val="00A2792B"/>
    <w:rsid w:val="00A30EC6"/>
    <w:rsid w:val="00A31099"/>
    <w:rsid w:val="00A34224"/>
    <w:rsid w:val="00A437D4"/>
    <w:rsid w:val="00A47125"/>
    <w:rsid w:val="00A53382"/>
    <w:rsid w:val="00A55C46"/>
    <w:rsid w:val="00A56A41"/>
    <w:rsid w:val="00A570F9"/>
    <w:rsid w:val="00A6067E"/>
    <w:rsid w:val="00A628A0"/>
    <w:rsid w:val="00A667AF"/>
    <w:rsid w:val="00A66E73"/>
    <w:rsid w:val="00A70282"/>
    <w:rsid w:val="00A70E47"/>
    <w:rsid w:val="00A71F3D"/>
    <w:rsid w:val="00A73F31"/>
    <w:rsid w:val="00A74F87"/>
    <w:rsid w:val="00A8016E"/>
    <w:rsid w:val="00A80A7F"/>
    <w:rsid w:val="00A8174A"/>
    <w:rsid w:val="00A83BE7"/>
    <w:rsid w:val="00A914A7"/>
    <w:rsid w:val="00A93843"/>
    <w:rsid w:val="00A94749"/>
    <w:rsid w:val="00A96BE2"/>
    <w:rsid w:val="00AA03D2"/>
    <w:rsid w:val="00AA62C5"/>
    <w:rsid w:val="00AA78A3"/>
    <w:rsid w:val="00AA7BA1"/>
    <w:rsid w:val="00AB48D8"/>
    <w:rsid w:val="00AB549E"/>
    <w:rsid w:val="00AB6DC0"/>
    <w:rsid w:val="00AC030D"/>
    <w:rsid w:val="00AC0777"/>
    <w:rsid w:val="00AC31BF"/>
    <w:rsid w:val="00AC3363"/>
    <w:rsid w:val="00AC3F14"/>
    <w:rsid w:val="00AC5DAF"/>
    <w:rsid w:val="00AC7CB6"/>
    <w:rsid w:val="00AC7EE4"/>
    <w:rsid w:val="00AD0D98"/>
    <w:rsid w:val="00AD372C"/>
    <w:rsid w:val="00AD42CA"/>
    <w:rsid w:val="00AD582B"/>
    <w:rsid w:val="00AD5CD1"/>
    <w:rsid w:val="00AD760B"/>
    <w:rsid w:val="00AD78C7"/>
    <w:rsid w:val="00AE27D5"/>
    <w:rsid w:val="00AE2E9D"/>
    <w:rsid w:val="00AF0CBD"/>
    <w:rsid w:val="00AF204A"/>
    <w:rsid w:val="00AF623A"/>
    <w:rsid w:val="00AF7CEE"/>
    <w:rsid w:val="00B00344"/>
    <w:rsid w:val="00B01B00"/>
    <w:rsid w:val="00B01B49"/>
    <w:rsid w:val="00B031FE"/>
    <w:rsid w:val="00B0367A"/>
    <w:rsid w:val="00B059FC"/>
    <w:rsid w:val="00B06306"/>
    <w:rsid w:val="00B07136"/>
    <w:rsid w:val="00B164A6"/>
    <w:rsid w:val="00B2024A"/>
    <w:rsid w:val="00B23221"/>
    <w:rsid w:val="00B23474"/>
    <w:rsid w:val="00B23F49"/>
    <w:rsid w:val="00B24145"/>
    <w:rsid w:val="00B24F26"/>
    <w:rsid w:val="00B25FB8"/>
    <w:rsid w:val="00B2630E"/>
    <w:rsid w:val="00B278D3"/>
    <w:rsid w:val="00B3117A"/>
    <w:rsid w:val="00B32202"/>
    <w:rsid w:val="00B32A96"/>
    <w:rsid w:val="00B3341F"/>
    <w:rsid w:val="00B334BE"/>
    <w:rsid w:val="00B335E3"/>
    <w:rsid w:val="00B34E71"/>
    <w:rsid w:val="00B35942"/>
    <w:rsid w:val="00B36C19"/>
    <w:rsid w:val="00B36D74"/>
    <w:rsid w:val="00B410F0"/>
    <w:rsid w:val="00B45A98"/>
    <w:rsid w:val="00B46720"/>
    <w:rsid w:val="00B46832"/>
    <w:rsid w:val="00B47C64"/>
    <w:rsid w:val="00B51E53"/>
    <w:rsid w:val="00B523B5"/>
    <w:rsid w:val="00B61842"/>
    <w:rsid w:val="00B61DA2"/>
    <w:rsid w:val="00B70E0B"/>
    <w:rsid w:val="00B724B5"/>
    <w:rsid w:val="00B7262A"/>
    <w:rsid w:val="00B74262"/>
    <w:rsid w:val="00B7612C"/>
    <w:rsid w:val="00B80483"/>
    <w:rsid w:val="00B80DD5"/>
    <w:rsid w:val="00B810DC"/>
    <w:rsid w:val="00B81B49"/>
    <w:rsid w:val="00B83B9B"/>
    <w:rsid w:val="00B849A2"/>
    <w:rsid w:val="00B84EF5"/>
    <w:rsid w:val="00B86629"/>
    <w:rsid w:val="00B86D7A"/>
    <w:rsid w:val="00B87206"/>
    <w:rsid w:val="00B9169A"/>
    <w:rsid w:val="00B923AA"/>
    <w:rsid w:val="00B92445"/>
    <w:rsid w:val="00B92496"/>
    <w:rsid w:val="00B92CDE"/>
    <w:rsid w:val="00B951FA"/>
    <w:rsid w:val="00BA1ABF"/>
    <w:rsid w:val="00BA2B14"/>
    <w:rsid w:val="00BA3F2B"/>
    <w:rsid w:val="00BA6712"/>
    <w:rsid w:val="00BA674B"/>
    <w:rsid w:val="00BA6900"/>
    <w:rsid w:val="00BB163A"/>
    <w:rsid w:val="00BB1B6B"/>
    <w:rsid w:val="00BB2AAF"/>
    <w:rsid w:val="00BB48BF"/>
    <w:rsid w:val="00BB5755"/>
    <w:rsid w:val="00BB5DFA"/>
    <w:rsid w:val="00BB612C"/>
    <w:rsid w:val="00BC5B62"/>
    <w:rsid w:val="00BC5FD9"/>
    <w:rsid w:val="00BC69FF"/>
    <w:rsid w:val="00BC6C30"/>
    <w:rsid w:val="00BD205F"/>
    <w:rsid w:val="00BD60B7"/>
    <w:rsid w:val="00BD73CA"/>
    <w:rsid w:val="00BE00C7"/>
    <w:rsid w:val="00BE418B"/>
    <w:rsid w:val="00BE5C6F"/>
    <w:rsid w:val="00BE6CE9"/>
    <w:rsid w:val="00BE778F"/>
    <w:rsid w:val="00BF18ED"/>
    <w:rsid w:val="00BF1B1B"/>
    <w:rsid w:val="00BF1CCF"/>
    <w:rsid w:val="00BF22D3"/>
    <w:rsid w:val="00BF3E94"/>
    <w:rsid w:val="00BF58F9"/>
    <w:rsid w:val="00C01B88"/>
    <w:rsid w:val="00C04274"/>
    <w:rsid w:val="00C063FB"/>
    <w:rsid w:val="00C07C8C"/>
    <w:rsid w:val="00C15A2F"/>
    <w:rsid w:val="00C26C0B"/>
    <w:rsid w:val="00C31CFF"/>
    <w:rsid w:val="00C346AE"/>
    <w:rsid w:val="00C37548"/>
    <w:rsid w:val="00C40CA0"/>
    <w:rsid w:val="00C45C86"/>
    <w:rsid w:val="00C47F51"/>
    <w:rsid w:val="00C5475E"/>
    <w:rsid w:val="00C54A71"/>
    <w:rsid w:val="00C55DB1"/>
    <w:rsid w:val="00C56B67"/>
    <w:rsid w:val="00C57962"/>
    <w:rsid w:val="00C60419"/>
    <w:rsid w:val="00C614FE"/>
    <w:rsid w:val="00C6242C"/>
    <w:rsid w:val="00C63521"/>
    <w:rsid w:val="00C643ED"/>
    <w:rsid w:val="00C6511F"/>
    <w:rsid w:val="00C7114F"/>
    <w:rsid w:val="00C717B2"/>
    <w:rsid w:val="00C722E8"/>
    <w:rsid w:val="00C72454"/>
    <w:rsid w:val="00C74B8B"/>
    <w:rsid w:val="00C752A5"/>
    <w:rsid w:val="00C76CF5"/>
    <w:rsid w:val="00C800E9"/>
    <w:rsid w:val="00C80D62"/>
    <w:rsid w:val="00C82729"/>
    <w:rsid w:val="00C84474"/>
    <w:rsid w:val="00C85223"/>
    <w:rsid w:val="00C85C3B"/>
    <w:rsid w:val="00C860AF"/>
    <w:rsid w:val="00C903FC"/>
    <w:rsid w:val="00C914DE"/>
    <w:rsid w:val="00C92E70"/>
    <w:rsid w:val="00C9470C"/>
    <w:rsid w:val="00C94AD9"/>
    <w:rsid w:val="00C94F2A"/>
    <w:rsid w:val="00CA06E3"/>
    <w:rsid w:val="00CA096F"/>
    <w:rsid w:val="00CA2132"/>
    <w:rsid w:val="00CA2F7D"/>
    <w:rsid w:val="00CA3D9D"/>
    <w:rsid w:val="00CA3DCF"/>
    <w:rsid w:val="00CA5E54"/>
    <w:rsid w:val="00CA7B99"/>
    <w:rsid w:val="00CB0D13"/>
    <w:rsid w:val="00CB2982"/>
    <w:rsid w:val="00CB52DF"/>
    <w:rsid w:val="00CB7428"/>
    <w:rsid w:val="00CB78C5"/>
    <w:rsid w:val="00CC1B68"/>
    <w:rsid w:val="00CC1CD0"/>
    <w:rsid w:val="00CC34ED"/>
    <w:rsid w:val="00CC4938"/>
    <w:rsid w:val="00CC4B3F"/>
    <w:rsid w:val="00CD041B"/>
    <w:rsid w:val="00CD2EDB"/>
    <w:rsid w:val="00CD4403"/>
    <w:rsid w:val="00CD451F"/>
    <w:rsid w:val="00CD4858"/>
    <w:rsid w:val="00CD4C0F"/>
    <w:rsid w:val="00CD6857"/>
    <w:rsid w:val="00CD7A05"/>
    <w:rsid w:val="00CE0633"/>
    <w:rsid w:val="00CE117C"/>
    <w:rsid w:val="00CE1A9B"/>
    <w:rsid w:val="00CE2D64"/>
    <w:rsid w:val="00CE3019"/>
    <w:rsid w:val="00CE32CD"/>
    <w:rsid w:val="00CE55A4"/>
    <w:rsid w:val="00CF374F"/>
    <w:rsid w:val="00CF5E0E"/>
    <w:rsid w:val="00CF697F"/>
    <w:rsid w:val="00D01EB6"/>
    <w:rsid w:val="00D04749"/>
    <w:rsid w:val="00D0489C"/>
    <w:rsid w:val="00D050E2"/>
    <w:rsid w:val="00D050F9"/>
    <w:rsid w:val="00D05887"/>
    <w:rsid w:val="00D05B24"/>
    <w:rsid w:val="00D07789"/>
    <w:rsid w:val="00D11515"/>
    <w:rsid w:val="00D139F7"/>
    <w:rsid w:val="00D14D77"/>
    <w:rsid w:val="00D16D9D"/>
    <w:rsid w:val="00D20F7C"/>
    <w:rsid w:val="00D21FED"/>
    <w:rsid w:val="00D220FC"/>
    <w:rsid w:val="00D225B2"/>
    <w:rsid w:val="00D2373A"/>
    <w:rsid w:val="00D23A95"/>
    <w:rsid w:val="00D24A4C"/>
    <w:rsid w:val="00D30C43"/>
    <w:rsid w:val="00D3449D"/>
    <w:rsid w:val="00D35912"/>
    <w:rsid w:val="00D35C37"/>
    <w:rsid w:val="00D37D5D"/>
    <w:rsid w:val="00D4360E"/>
    <w:rsid w:val="00D4549D"/>
    <w:rsid w:val="00D454C6"/>
    <w:rsid w:val="00D51C3D"/>
    <w:rsid w:val="00D51CCC"/>
    <w:rsid w:val="00D52027"/>
    <w:rsid w:val="00D523AA"/>
    <w:rsid w:val="00D525FA"/>
    <w:rsid w:val="00D5377E"/>
    <w:rsid w:val="00D5462D"/>
    <w:rsid w:val="00D60476"/>
    <w:rsid w:val="00D60668"/>
    <w:rsid w:val="00D61C22"/>
    <w:rsid w:val="00D63141"/>
    <w:rsid w:val="00D727CB"/>
    <w:rsid w:val="00D73CCB"/>
    <w:rsid w:val="00D75C3F"/>
    <w:rsid w:val="00D76E33"/>
    <w:rsid w:val="00D7711D"/>
    <w:rsid w:val="00D821B4"/>
    <w:rsid w:val="00D831C4"/>
    <w:rsid w:val="00D85512"/>
    <w:rsid w:val="00D85E7D"/>
    <w:rsid w:val="00D874F1"/>
    <w:rsid w:val="00D875F9"/>
    <w:rsid w:val="00D87B0A"/>
    <w:rsid w:val="00D9154D"/>
    <w:rsid w:val="00D91DCE"/>
    <w:rsid w:val="00D93F83"/>
    <w:rsid w:val="00D9643F"/>
    <w:rsid w:val="00D96711"/>
    <w:rsid w:val="00DA1937"/>
    <w:rsid w:val="00DA2122"/>
    <w:rsid w:val="00DA29E0"/>
    <w:rsid w:val="00DA7280"/>
    <w:rsid w:val="00DA7C5B"/>
    <w:rsid w:val="00DB169B"/>
    <w:rsid w:val="00DB274A"/>
    <w:rsid w:val="00DB542F"/>
    <w:rsid w:val="00DC5563"/>
    <w:rsid w:val="00DC5671"/>
    <w:rsid w:val="00DC5DF0"/>
    <w:rsid w:val="00DC6098"/>
    <w:rsid w:val="00DC6875"/>
    <w:rsid w:val="00DC75B5"/>
    <w:rsid w:val="00DC7C0A"/>
    <w:rsid w:val="00DD0FB2"/>
    <w:rsid w:val="00DD3A41"/>
    <w:rsid w:val="00DE0925"/>
    <w:rsid w:val="00DE206D"/>
    <w:rsid w:val="00DE441C"/>
    <w:rsid w:val="00DE5403"/>
    <w:rsid w:val="00DE6566"/>
    <w:rsid w:val="00DF312F"/>
    <w:rsid w:val="00DF71CA"/>
    <w:rsid w:val="00DF71DD"/>
    <w:rsid w:val="00DF7670"/>
    <w:rsid w:val="00E0057B"/>
    <w:rsid w:val="00E02FE5"/>
    <w:rsid w:val="00E04CBE"/>
    <w:rsid w:val="00E05135"/>
    <w:rsid w:val="00E06B2E"/>
    <w:rsid w:val="00E07670"/>
    <w:rsid w:val="00E07807"/>
    <w:rsid w:val="00E078EE"/>
    <w:rsid w:val="00E101E8"/>
    <w:rsid w:val="00E10F2C"/>
    <w:rsid w:val="00E131C6"/>
    <w:rsid w:val="00E14276"/>
    <w:rsid w:val="00E24003"/>
    <w:rsid w:val="00E24C7B"/>
    <w:rsid w:val="00E3138E"/>
    <w:rsid w:val="00E3423D"/>
    <w:rsid w:val="00E35BA9"/>
    <w:rsid w:val="00E366AE"/>
    <w:rsid w:val="00E3743D"/>
    <w:rsid w:val="00E47B6E"/>
    <w:rsid w:val="00E50492"/>
    <w:rsid w:val="00E50A91"/>
    <w:rsid w:val="00E520A7"/>
    <w:rsid w:val="00E54B0B"/>
    <w:rsid w:val="00E63FCD"/>
    <w:rsid w:val="00E649E1"/>
    <w:rsid w:val="00E659AB"/>
    <w:rsid w:val="00E67B2F"/>
    <w:rsid w:val="00E67DE0"/>
    <w:rsid w:val="00E8151D"/>
    <w:rsid w:val="00E84D05"/>
    <w:rsid w:val="00E86C58"/>
    <w:rsid w:val="00E87108"/>
    <w:rsid w:val="00E92935"/>
    <w:rsid w:val="00E92C09"/>
    <w:rsid w:val="00E9349E"/>
    <w:rsid w:val="00E9357E"/>
    <w:rsid w:val="00E959EA"/>
    <w:rsid w:val="00E966B2"/>
    <w:rsid w:val="00E977A5"/>
    <w:rsid w:val="00EA1ECB"/>
    <w:rsid w:val="00EA23BD"/>
    <w:rsid w:val="00EA4964"/>
    <w:rsid w:val="00EA5148"/>
    <w:rsid w:val="00EA5470"/>
    <w:rsid w:val="00EA7B53"/>
    <w:rsid w:val="00EB51EE"/>
    <w:rsid w:val="00EB5BDB"/>
    <w:rsid w:val="00EB72E5"/>
    <w:rsid w:val="00EC1C97"/>
    <w:rsid w:val="00EC4E0A"/>
    <w:rsid w:val="00EC5131"/>
    <w:rsid w:val="00EC7B8F"/>
    <w:rsid w:val="00ED031E"/>
    <w:rsid w:val="00ED2029"/>
    <w:rsid w:val="00ED2492"/>
    <w:rsid w:val="00ED7FEF"/>
    <w:rsid w:val="00EE048F"/>
    <w:rsid w:val="00EE1AA1"/>
    <w:rsid w:val="00EE47A2"/>
    <w:rsid w:val="00EE78AB"/>
    <w:rsid w:val="00EF0693"/>
    <w:rsid w:val="00EF2510"/>
    <w:rsid w:val="00EF3585"/>
    <w:rsid w:val="00EF3F91"/>
    <w:rsid w:val="00EF566C"/>
    <w:rsid w:val="00F016E1"/>
    <w:rsid w:val="00F029B4"/>
    <w:rsid w:val="00F035B2"/>
    <w:rsid w:val="00F07C11"/>
    <w:rsid w:val="00F103F9"/>
    <w:rsid w:val="00F1320F"/>
    <w:rsid w:val="00F1567A"/>
    <w:rsid w:val="00F1759C"/>
    <w:rsid w:val="00F17B09"/>
    <w:rsid w:val="00F20C3D"/>
    <w:rsid w:val="00F20C48"/>
    <w:rsid w:val="00F20DFE"/>
    <w:rsid w:val="00F21325"/>
    <w:rsid w:val="00F22A7F"/>
    <w:rsid w:val="00F240D0"/>
    <w:rsid w:val="00F24AF2"/>
    <w:rsid w:val="00F25B4E"/>
    <w:rsid w:val="00F274F1"/>
    <w:rsid w:val="00F34D80"/>
    <w:rsid w:val="00F40CD1"/>
    <w:rsid w:val="00F41E20"/>
    <w:rsid w:val="00F4514C"/>
    <w:rsid w:val="00F53EF7"/>
    <w:rsid w:val="00F54E05"/>
    <w:rsid w:val="00F5681C"/>
    <w:rsid w:val="00F6357C"/>
    <w:rsid w:val="00F63DE5"/>
    <w:rsid w:val="00F658FC"/>
    <w:rsid w:val="00F662CF"/>
    <w:rsid w:val="00F73816"/>
    <w:rsid w:val="00F80660"/>
    <w:rsid w:val="00F83CCF"/>
    <w:rsid w:val="00F83D6E"/>
    <w:rsid w:val="00F83F6E"/>
    <w:rsid w:val="00F85CA7"/>
    <w:rsid w:val="00F86F06"/>
    <w:rsid w:val="00F91BD3"/>
    <w:rsid w:val="00F9233B"/>
    <w:rsid w:val="00F93306"/>
    <w:rsid w:val="00F93EC7"/>
    <w:rsid w:val="00F94248"/>
    <w:rsid w:val="00F94A5F"/>
    <w:rsid w:val="00F95091"/>
    <w:rsid w:val="00F95D99"/>
    <w:rsid w:val="00F95F9A"/>
    <w:rsid w:val="00FA0368"/>
    <w:rsid w:val="00FA08C1"/>
    <w:rsid w:val="00FA1801"/>
    <w:rsid w:val="00FA2FE8"/>
    <w:rsid w:val="00FA309A"/>
    <w:rsid w:val="00FA317B"/>
    <w:rsid w:val="00FA3EDA"/>
    <w:rsid w:val="00FA4A7B"/>
    <w:rsid w:val="00FA734C"/>
    <w:rsid w:val="00FB0EC2"/>
    <w:rsid w:val="00FB0F8A"/>
    <w:rsid w:val="00FB1076"/>
    <w:rsid w:val="00FB1A40"/>
    <w:rsid w:val="00FB2728"/>
    <w:rsid w:val="00FB2E09"/>
    <w:rsid w:val="00FB3AEA"/>
    <w:rsid w:val="00FC08CB"/>
    <w:rsid w:val="00FC19F3"/>
    <w:rsid w:val="00FC4092"/>
    <w:rsid w:val="00FC55CE"/>
    <w:rsid w:val="00FC58F5"/>
    <w:rsid w:val="00FD0E13"/>
    <w:rsid w:val="00FD2516"/>
    <w:rsid w:val="00FD6530"/>
    <w:rsid w:val="00FD767E"/>
    <w:rsid w:val="00FE4B0E"/>
    <w:rsid w:val="00FE646A"/>
    <w:rsid w:val="00FE7DF0"/>
    <w:rsid w:val="00FF0B5C"/>
    <w:rsid w:val="00FF6510"/>
    <w:rsid w:val="00FF7F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72914-B7CD-4CA6-AC45-CB3E20E0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dstrike/>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9F4"/>
    <w:pPr>
      <w:spacing w:after="0" w:line="240" w:lineRule="auto"/>
    </w:pPr>
    <w:rPr>
      <w:rFonts w:eastAsia="Times New Roman"/>
      <w:bCs/>
      <w:dstrike w:val="0"/>
    </w:rPr>
  </w:style>
  <w:style w:type="paragraph" w:styleId="Heading1">
    <w:name w:val="heading 1"/>
    <w:basedOn w:val="Normal"/>
    <w:next w:val="Normal"/>
    <w:link w:val="Heading1Char"/>
    <w:qFormat/>
    <w:rsid w:val="002D7D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2D7D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2D7DD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037429"/>
    <w:pPr>
      <w:keepNext/>
      <w:jc w:val="center"/>
      <w:outlineLvl w:val="3"/>
    </w:pPr>
    <w:rPr>
      <w:rFonts w:cs="Times New Roman"/>
      <w:b/>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DC0"/>
    <w:pPr>
      <w:spacing w:after="0" w:line="240" w:lineRule="auto"/>
    </w:pPr>
  </w:style>
  <w:style w:type="paragraph" w:styleId="BalloonText">
    <w:name w:val="Balloon Text"/>
    <w:basedOn w:val="Normal"/>
    <w:link w:val="BalloonTextChar"/>
    <w:uiPriority w:val="99"/>
    <w:semiHidden/>
    <w:unhideWhenUsed/>
    <w:rsid w:val="003867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74F"/>
    <w:rPr>
      <w:rFonts w:ascii="Segoe UI" w:eastAsia="Times New Roman" w:hAnsi="Segoe UI" w:cs="Segoe UI"/>
      <w:bCs/>
      <w:dstrike w:val="0"/>
      <w:sz w:val="18"/>
      <w:szCs w:val="18"/>
    </w:rPr>
  </w:style>
  <w:style w:type="paragraph" w:styleId="ListParagraph">
    <w:name w:val="List Paragraph"/>
    <w:basedOn w:val="Normal"/>
    <w:link w:val="ListParagraphChar"/>
    <w:uiPriority w:val="34"/>
    <w:qFormat/>
    <w:rsid w:val="00C9470C"/>
    <w:pPr>
      <w:ind w:left="720"/>
      <w:contextualSpacing/>
    </w:pPr>
  </w:style>
  <w:style w:type="paragraph" w:styleId="Header">
    <w:name w:val="header"/>
    <w:basedOn w:val="Normal"/>
    <w:link w:val="HeaderChar"/>
    <w:uiPriority w:val="99"/>
    <w:unhideWhenUsed/>
    <w:rsid w:val="00892CC9"/>
    <w:pPr>
      <w:tabs>
        <w:tab w:val="center" w:pos="4680"/>
        <w:tab w:val="right" w:pos="9360"/>
      </w:tabs>
    </w:pPr>
  </w:style>
  <w:style w:type="character" w:customStyle="1" w:styleId="HeaderChar">
    <w:name w:val="Header Char"/>
    <w:basedOn w:val="DefaultParagraphFont"/>
    <w:link w:val="Header"/>
    <w:uiPriority w:val="99"/>
    <w:rsid w:val="00892CC9"/>
    <w:rPr>
      <w:rFonts w:eastAsia="Times New Roman"/>
      <w:bCs/>
      <w:dstrike w:val="0"/>
    </w:rPr>
  </w:style>
  <w:style w:type="paragraph" w:styleId="Footer">
    <w:name w:val="footer"/>
    <w:basedOn w:val="Normal"/>
    <w:link w:val="FooterChar"/>
    <w:uiPriority w:val="99"/>
    <w:unhideWhenUsed/>
    <w:rsid w:val="00892CC9"/>
    <w:pPr>
      <w:tabs>
        <w:tab w:val="center" w:pos="4680"/>
        <w:tab w:val="right" w:pos="9360"/>
      </w:tabs>
    </w:pPr>
  </w:style>
  <w:style w:type="character" w:customStyle="1" w:styleId="FooterChar">
    <w:name w:val="Footer Char"/>
    <w:basedOn w:val="DefaultParagraphFont"/>
    <w:link w:val="Footer"/>
    <w:uiPriority w:val="99"/>
    <w:rsid w:val="00892CC9"/>
    <w:rPr>
      <w:rFonts w:eastAsia="Times New Roman"/>
      <w:bCs/>
      <w:dstrike w:val="0"/>
    </w:rPr>
  </w:style>
  <w:style w:type="paragraph" w:styleId="BodyText">
    <w:name w:val="Body Text"/>
    <w:aliases w:val="heading3,Body Text - Level 2,bt,Body Text x,OC Body Text,Body,by,Body Text Diana"/>
    <w:basedOn w:val="Normal"/>
    <w:link w:val="BodyTextChar"/>
    <w:rsid w:val="000959D3"/>
    <w:pPr>
      <w:jc w:val="both"/>
    </w:pPr>
    <w:rPr>
      <w:rFonts w:ascii="Times New Roman" w:hAnsi="Times New Roman"/>
    </w:rPr>
  </w:style>
  <w:style w:type="character" w:customStyle="1" w:styleId="BodyTextChar">
    <w:name w:val="Body Text Char"/>
    <w:aliases w:val="heading3 Char,Body Text - Level 2 Char,bt Char,Body Text x Char,OC Body Text Char,Body Char,by Char,Body Text Diana Char"/>
    <w:basedOn w:val="DefaultParagraphFont"/>
    <w:link w:val="BodyText"/>
    <w:rsid w:val="000959D3"/>
    <w:rPr>
      <w:rFonts w:ascii="Times New Roman" w:eastAsia="Times New Roman" w:hAnsi="Times New Roman"/>
      <w:bCs/>
      <w:dstrike w:val="0"/>
    </w:rPr>
  </w:style>
  <w:style w:type="table" w:styleId="TableGrid">
    <w:name w:val="Table Grid"/>
    <w:basedOn w:val="TableNormal"/>
    <w:uiPriority w:val="39"/>
    <w:rsid w:val="00E10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F3D"/>
    <w:rPr>
      <w:color w:val="0563C1" w:themeColor="hyperlink"/>
      <w:u w:val="single"/>
    </w:rPr>
  </w:style>
  <w:style w:type="paragraph" w:customStyle="1" w:styleId="Default">
    <w:name w:val="Default"/>
    <w:rsid w:val="00C752A5"/>
    <w:pPr>
      <w:autoSpaceDE w:val="0"/>
      <w:autoSpaceDN w:val="0"/>
      <w:adjustRightInd w:val="0"/>
      <w:spacing w:after="0" w:line="240" w:lineRule="auto"/>
    </w:pPr>
    <w:rPr>
      <w:bCs/>
      <w:dstrike w:val="0"/>
      <w:color w:val="000000"/>
      <w:lang w:val="en-IN" w:bidi="hi-IN"/>
    </w:rPr>
  </w:style>
  <w:style w:type="character" w:customStyle="1" w:styleId="Heading4Char">
    <w:name w:val="Heading 4 Char"/>
    <w:basedOn w:val="DefaultParagraphFont"/>
    <w:link w:val="Heading4"/>
    <w:rsid w:val="00037429"/>
    <w:rPr>
      <w:rFonts w:eastAsia="Times New Roman" w:cs="Times New Roman"/>
      <w:b/>
      <w:dstrike w:val="0"/>
      <w:sz w:val="20"/>
      <w:szCs w:val="20"/>
    </w:rPr>
  </w:style>
  <w:style w:type="paragraph" w:customStyle="1" w:styleId="Char">
    <w:name w:val="Char"/>
    <w:basedOn w:val="Normal"/>
    <w:rsid w:val="00037429"/>
    <w:pPr>
      <w:spacing w:after="160" w:line="240" w:lineRule="exact"/>
    </w:pPr>
    <w:rPr>
      <w:rFonts w:ascii="Verdana" w:hAnsi="Verdana" w:cs="Times New Roman"/>
      <w:sz w:val="20"/>
      <w:szCs w:val="20"/>
    </w:rPr>
  </w:style>
  <w:style w:type="character" w:styleId="Strong">
    <w:name w:val="Strong"/>
    <w:basedOn w:val="DefaultParagraphFont"/>
    <w:uiPriority w:val="22"/>
    <w:qFormat/>
    <w:rsid w:val="006D7D6D"/>
    <w:rPr>
      <w:b/>
      <w:bCs/>
    </w:rPr>
  </w:style>
  <w:style w:type="paragraph" w:styleId="BodyTextIndent">
    <w:name w:val="Body Text Indent"/>
    <w:basedOn w:val="Normal"/>
    <w:link w:val="BodyTextIndentChar"/>
    <w:uiPriority w:val="99"/>
    <w:semiHidden/>
    <w:unhideWhenUsed/>
    <w:rsid w:val="00BA3F2B"/>
    <w:pPr>
      <w:spacing w:after="120"/>
      <w:ind w:left="360"/>
    </w:pPr>
  </w:style>
  <w:style w:type="character" w:customStyle="1" w:styleId="BodyTextIndentChar">
    <w:name w:val="Body Text Indent Char"/>
    <w:basedOn w:val="DefaultParagraphFont"/>
    <w:link w:val="BodyTextIndent"/>
    <w:uiPriority w:val="99"/>
    <w:semiHidden/>
    <w:rsid w:val="00BA3F2B"/>
    <w:rPr>
      <w:rFonts w:eastAsia="Times New Roman"/>
      <w:bCs/>
      <w:dstrike w:val="0"/>
    </w:rPr>
  </w:style>
  <w:style w:type="paragraph" w:styleId="NormalWeb">
    <w:name w:val="Normal (Web)"/>
    <w:basedOn w:val="Normal"/>
    <w:uiPriority w:val="99"/>
    <w:unhideWhenUsed/>
    <w:rsid w:val="00C94F2A"/>
    <w:pPr>
      <w:spacing w:before="100" w:beforeAutospacing="1" w:after="100" w:afterAutospacing="1"/>
    </w:pPr>
    <w:rPr>
      <w:rFonts w:ascii="Times New Roman" w:eastAsiaTheme="minorHAnsi" w:hAnsi="Times New Roman" w:cs="Times New Roman"/>
      <w:lang w:bidi="hi-IN"/>
    </w:rPr>
  </w:style>
  <w:style w:type="paragraph" w:customStyle="1" w:styleId="Char0">
    <w:name w:val="Char"/>
    <w:basedOn w:val="Normal"/>
    <w:rsid w:val="00A74F87"/>
    <w:pPr>
      <w:spacing w:after="160" w:line="240" w:lineRule="exact"/>
    </w:pPr>
    <w:rPr>
      <w:rFonts w:ascii="Verdana" w:hAnsi="Verdana" w:cs="Times New Roman"/>
      <w:sz w:val="20"/>
      <w:szCs w:val="20"/>
    </w:rPr>
  </w:style>
  <w:style w:type="character" w:customStyle="1" w:styleId="ListParagraphChar">
    <w:name w:val="List Paragraph Char"/>
    <w:link w:val="ListParagraph"/>
    <w:uiPriority w:val="34"/>
    <w:rsid w:val="00F17B09"/>
    <w:rPr>
      <w:rFonts w:eastAsia="Times New Roman"/>
      <w:bCs/>
      <w:dstrike w:val="0"/>
    </w:rPr>
  </w:style>
  <w:style w:type="paragraph" w:styleId="BodyTextIndent2">
    <w:name w:val="Body Text Indent 2"/>
    <w:basedOn w:val="Normal"/>
    <w:link w:val="BodyTextIndent2Char"/>
    <w:uiPriority w:val="99"/>
    <w:semiHidden/>
    <w:unhideWhenUsed/>
    <w:rsid w:val="00DC6098"/>
    <w:pPr>
      <w:spacing w:after="120" w:line="480" w:lineRule="auto"/>
      <w:ind w:left="360"/>
    </w:pPr>
  </w:style>
  <w:style w:type="character" w:customStyle="1" w:styleId="BodyTextIndent2Char">
    <w:name w:val="Body Text Indent 2 Char"/>
    <w:basedOn w:val="DefaultParagraphFont"/>
    <w:link w:val="BodyTextIndent2"/>
    <w:uiPriority w:val="99"/>
    <w:semiHidden/>
    <w:rsid w:val="00DC6098"/>
    <w:rPr>
      <w:rFonts w:eastAsia="Times New Roman"/>
      <w:bCs/>
      <w:dstrike w:val="0"/>
    </w:rPr>
  </w:style>
  <w:style w:type="character" w:customStyle="1" w:styleId="Heading1Char">
    <w:name w:val="Heading 1 Char"/>
    <w:basedOn w:val="DefaultParagraphFont"/>
    <w:link w:val="Heading1"/>
    <w:rsid w:val="002D7DD6"/>
    <w:rPr>
      <w:rFonts w:asciiTheme="majorHAnsi" w:eastAsiaTheme="majorEastAsia" w:hAnsiTheme="majorHAnsi" w:cstheme="majorBidi"/>
      <w:bCs/>
      <w:dstrike w:val="0"/>
      <w:color w:val="2E74B5" w:themeColor="accent1" w:themeShade="BF"/>
      <w:sz w:val="32"/>
      <w:szCs w:val="32"/>
    </w:rPr>
  </w:style>
  <w:style w:type="character" w:customStyle="1" w:styleId="Heading2Char">
    <w:name w:val="Heading 2 Char"/>
    <w:basedOn w:val="DefaultParagraphFont"/>
    <w:link w:val="Heading2"/>
    <w:rsid w:val="002D7DD6"/>
    <w:rPr>
      <w:rFonts w:asciiTheme="majorHAnsi" w:eastAsiaTheme="majorEastAsia" w:hAnsiTheme="majorHAnsi" w:cstheme="majorBidi"/>
      <w:bCs/>
      <w:dstrike w:val="0"/>
      <w:color w:val="2E74B5" w:themeColor="accent1" w:themeShade="BF"/>
      <w:sz w:val="26"/>
      <w:szCs w:val="26"/>
    </w:rPr>
  </w:style>
  <w:style w:type="character" w:customStyle="1" w:styleId="Heading3Char">
    <w:name w:val="Heading 3 Char"/>
    <w:basedOn w:val="DefaultParagraphFont"/>
    <w:link w:val="Heading3"/>
    <w:rsid w:val="002D7DD6"/>
    <w:rPr>
      <w:rFonts w:asciiTheme="majorHAnsi" w:eastAsiaTheme="majorEastAsia" w:hAnsiTheme="majorHAnsi" w:cstheme="majorBidi"/>
      <w:bCs/>
      <w:dstrike w:val="0"/>
      <w:color w:val="1F4D78" w:themeColor="accent1" w:themeShade="7F"/>
    </w:rPr>
  </w:style>
  <w:style w:type="paragraph" w:styleId="BodyTextIndent3">
    <w:name w:val="Body Text Indent 3"/>
    <w:basedOn w:val="Normal"/>
    <w:link w:val="BodyTextIndent3Char"/>
    <w:uiPriority w:val="99"/>
    <w:semiHidden/>
    <w:unhideWhenUsed/>
    <w:rsid w:val="002D7DD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7DD6"/>
    <w:rPr>
      <w:rFonts w:eastAsia="Times New Roman"/>
      <w:bCs/>
      <w:dstrike w:val="0"/>
      <w:sz w:val="16"/>
      <w:szCs w:val="16"/>
    </w:rPr>
  </w:style>
  <w:style w:type="paragraph" w:styleId="Subtitle">
    <w:name w:val="Subtitle"/>
    <w:basedOn w:val="Normal"/>
    <w:link w:val="SubtitleChar"/>
    <w:qFormat/>
    <w:rsid w:val="002D7DD6"/>
    <w:pPr>
      <w:jc w:val="center"/>
    </w:pPr>
    <w:rPr>
      <w:b/>
      <w:bCs w:val="0"/>
      <w:iCs/>
      <w:color w:val="000000"/>
      <w:szCs w:val="20"/>
      <w:u w:val="single"/>
    </w:rPr>
  </w:style>
  <w:style w:type="character" w:customStyle="1" w:styleId="SubtitleChar">
    <w:name w:val="Subtitle Char"/>
    <w:basedOn w:val="DefaultParagraphFont"/>
    <w:link w:val="Subtitle"/>
    <w:rsid w:val="002D7DD6"/>
    <w:rPr>
      <w:rFonts w:eastAsia="Times New Roman"/>
      <w:b/>
      <w:iCs/>
      <w:dstrike w:val="0"/>
      <w:color w:val="00000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3357">
      <w:bodyDiv w:val="1"/>
      <w:marLeft w:val="0"/>
      <w:marRight w:val="0"/>
      <w:marTop w:val="0"/>
      <w:marBottom w:val="0"/>
      <w:divBdr>
        <w:top w:val="none" w:sz="0" w:space="0" w:color="auto"/>
        <w:left w:val="none" w:sz="0" w:space="0" w:color="auto"/>
        <w:bottom w:val="none" w:sz="0" w:space="0" w:color="auto"/>
        <w:right w:val="none" w:sz="0" w:space="0" w:color="auto"/>
      </w:divBdr>
    </w:div>
    <w:div w:id="53550631">
      <w:bodyDiv w:val="1"/>
      <w:marLeft w:val="0"/>
      <w:marRight w:val="0"/>
      <w:marTop w:val="0"/>
      <w:marBottom w:val="0"/>
      <w:divBdr>
        <w:top w:val="none" w:sz="0" w:space="0" w:color="auto"/>
        <w:left w:val="none" w:sz="0" w:space="0" w:color="auto"/>
        <w:bottom w:val="none" w:sz="0" w:space="0" w:color="auto"/>
        <w:right w:val="none" w:sz="0" w:space="0" w:color="auto"/>
      </w:divBdr>
    </w:div>
    <w:div w:id="301076927">
      <w:bodyDiv w:val="1"/>
      <w:marLeft w:val="0"/>
      <w:marRight w:val="0"/>
      <w:marTop w:val="0"/>
      <w:marBottom w:val="0"/>
      <w:divBdr>
        <w:top w:val="none" w:sz="0" w:space="0" w:color="auto"/>
        <w:left w:val="none" w:sz="0" w:space="0" w:color="auto"/>
        <w:bottom w:val="none" w:sz="0" w:space="0" w:color="auto"/>
        <w:right w:val="none" w:sz="0" w:space="0" w:color="auto"/>
      </w:divBdr>
    </w:div>
    <w:div w:id="500856735">
      <w:bodyDiv w:val="1"/>
      <w:marLeft w:val="0"/>
      <w:marRight w:val="0"/>
      <w:marTop w:val="0"/>
      <w:marBottom w:val="0"/>
      <w:divBdr>
        <w:top w:val="none" w:sz="0" w:space="0" w:color="auto"/>
        <w:left w:val="none" w:sz="0" w:space="0" w:color="auto"/>
        <w:bottom w:val="none" w:sz="0" w:space="0" w:color="auto"/>
        <w:right w:val="none" w:sz="0" w:space="0" w:color="auto"/>
      </w:divBdr>
    </w:div>
    <w:div w:id="545993607">
      <w:bodyDiv w:val="1"/>
      <w:marLeft w:val="0"/>
      <w:marRight w:val="0"/>
      <w:marTop w:val="0"/>
      <w:marBottom w:val="0"/>
      <w:divBdr>
        <w:top w:val="none" w:sz="0" w:space="0" w:color="auto"/>
        <w:left w:val="none" w:sz="0" w:space="0" w:color="auto"/>
        <w:bottom w:val="none" w:sz="0" w:space="0" w:color="auto"/>
        <w:right w:val="none" w:sz="0" w:space="0" w:color="auto"/>
      </w:divBdr>
    </w:div>
    <w:div w:id="777794557">
      <w:bodyDiv w:val="1"/>
      <w:marLeft w:val="0"/>
      <w:marRight w:val="0"/>
      <w:marTop w:val="0"/>
      <w:marBottom w:val="0"/>
      <w:divBdr>
        <w:top w:val="none" w:sz="0" w:space="0" w:color="auto"/>
        <w:left w:val="none" w:sz="0" w:space="0" w:color="auto"/>
        <w:bottom w:val="none" w:sz="0" w:space="0" w:color="auto"/>
        <w:right w:val="none" w:sz="0" w:space="0" w:color="auto"/>
      </w:divBdr>
    </w:div>
    <w:div w:id="792603683">
      <w:bodyDiv w:val="1"/>
      <w:marLeft w:val="0"/>
      <w:marRight w:val="0"/>
      <w:marTop w:val="0"/>
      <w:marBottom w:val="0"/>
      <w:divBdr>
        <w:top w:val="none" w:sz="0" w:space="0" w:color="auto"/>
        <w:left w:val="none" w:sz="0" w:space="0" w:color="auto"/>
        <w:bottom w:val="none" w:sz="0" w:space="0" w:color="auto"/>
        <w:right w:val="none" w:sz="0" w:space="0" w:color="auto"/>
      </w:divBdr>
    </w:div>
    <w:div w:id="959534427">
      <w:bodyDiv w:val="1"/>
      <w:marLeft w:val="0"/>
      <w:marRight w:val="0"/>
      <w:marTop w:val="0"/>
      <w:marBottom w:val="0"/>
      <w:divBdr>
        <w:top w:val="none" w:sz="0" w:space="0" w:color="auto"/>
        <w:left w:val="none" w:sz="0" w:space="0" w:color="auto"/>
        <w:bottom w:val="none" w:sz="0" w:space="0" w:color="auto"/>
        <w:right w:val="none" w:sz="0" w:space="0" w:color="auto"/>
      </w:divBdr>
    </w:div>
    <w:div w:id="973486984">
      <w:bodyDiv w:val="1"/>
      <w:marLeft w:val="0"/>
      <w:marRight w:val="0"/>
      <w:marTop w:val="0"/>
      <w:marBottom w:val="0"/>
      <w:divBdr>
        <w:top w:val="none" w:sz="0" w:space="0" w:color="auto"/>
        <w:left w:val="none" w:sz="0" w:space="0" w:color="auto"/>
        <w:bottom w:val="none" w:sz="0" w:space="0" w:color="auto"/>
        <w:right w:val="none" w:sz="0" w:space="0" w:color="auto"/>
      </w:divBdr>
    </w:div>
    <w:div w:id="981348448">
      <w:bodyDiv w:val="1"/>
      <w:marLeft w:val="0"/>
      <w:marRight w:val="0"/>
      <w:marTop w:val="0"/>
      <w:marBottom w:val="0"/>
      <w:divBdr>
        <w:top w:val="none" w:sz="0" w:space="0" w:color="auto"/>
        <w:left w:val="none" w:sz="0" w:space="0" w:color="auto"/>
        <w:bottom w:val="none" w:sz="0" w:space="0" w:color="auto"/>
        <w:right w:val="none" w:sz="0" w:space="0" w:color="auto"/>
      </w:divBdr>
    </w:div>
    <w:div w:id="1109929390">
      <w:bodyDiv w:val="1"/>
      <w:marLeft w:val="0"/>
      <w:marRight w:val="0"/>
      <w:marTop w:val="0"/>
      <w:marBottom w:val="0"/>
      <w:divBdr>
        <w:top w:val="none" w:sz="0" w:space="0" w:color="auto"/>
        <w:left w:val="none" w:sz="0" w:space="0" w:color="auto"/>
        <w:bottom w:val="none" w:sz="0" w:space="0" w:color="auto"/>
        <w:right w:val="none" w:sz="0" w:space="0" w:color="auto"/>
      </w:divBdr>
    </w:div>
    <w:div w:id="1116480736">
      <w:bodyDiv w:val="1"/>
      <w:marLeft w:val="0"/>
      <w:marRight w:val="0"/>
      <w:marTop w:val="0"/>
      <w:marBottom w:val="0"/>
      <w:divBdr>
        <w:top w:val="none" w:sz="0" w:space="0" w:color="auto"/>
        <w:left w:val="none" w:sz="0" w:space="0" w:color="auto"/>
        <w:bottom w:val="none" w:sz="0" w:space="0" w:color="auto"/>
        <w:right w:val="none" w:sz="0" w:space="0" w:color="auto"/>
      </w:divBdr>
    </w:div>
    <w:div w:id="1312522135">
      <w:bodyDiv w:val="1"/>
      <w:marLeft w:val="0"/>
      <w:marRight w:val="0"/>
      <w:marTop w:val="0"/>
      <w:marBottom w:val="0"/>
      <w:divBdr>
        <w:top w:val="none" w:sz="0" w:space="0" w:color="auto"/>
        <w:left w:val="none" w:sz="0" w:space="0" w:color="auto"/>
        <w:bottom w:val="none" w:sz="0" w:space="0" w:color="auto"/>
        <w:right w:val="none" w:sz="0" w:space="0" w:color="auto"/>
      </w:divBdr>
    </w:div>
    <w:div w:id="1313947322">
      <w:bodyDiv w:val="1"/>
      <w:marLeft w:val="0"/>
      <w:marRight w:val="0"/>
      <w:marTop w:val="0"/>
      <w:marBottom w:val="0"/>
      <w:divBdr>
        <w:top w:val="none" w:sz="0" w:space="0" w:color="auto"/>
        <w:left w:val="none" w:sz="0" w:space="0" w:color="auto"/>
        <w:bottom w:val="none" w:sz="0" w:space="0" w:color="auto"/>
        <w:right w:val="none" w:sz="0" w:space="0" w:color="auto"/>
      </w:divBdr>
    </w:div>
    <w:div w:id="1318222444">
      <w:bodyDiv w:val="1"/>
      <w:marLeft w:val="0"/>
      <w:marRight w:val="0"/>
      <w:marTop w:val="0"/>
      <w:marBottom w:val="0"/>
      <w:divBdr>
        <w:top w:val="none" w:sz="0" w:space="0" w:color="auto"/>
        <w:left w:val="none" w:sz="0" w:space="0" w:color="auto"/>
        <w:bottom w:val="none" w:sz="0" w:space="0" w:color="auto"/>
        <w:right w:val="none" w:sz="0" w:space="0" w:color="auto"/>
      </w:divBdr>
    </w:div>
    <w:div w:id="1478256398">
      <w:bodyDiv w:val="1"/>
      <w:marLeft w:val="0"/>
      <w:marRight w:val="0"/>
      <w:marTop w:val="0"/>
      <w:marBottom w:val="0"/>
      <w:divBdr>
        <w:top w:val="none" w:sz="0" w:space="0" w:color="auto"/>
        <w:left w:val="none" w:sz="0" w:space="0" w:color="auto"/>
        <w:bottom w:val="none" w:sz="0" w:space="0" w:color="auto"/>
        <w:right w:val="none" w:sz="0" w:space="0" w:color="auto"/>
      </w:divBdr>
    </w:div>
    <w:div w:id="1666319916">
      <w:bodyDiv w:val="1"/>
      <w:marLeft w:val="0"/>
      <w:marRight w:val="0"/>
      <w:marTop w:val="0"/>
      <w:marBottom w:val="0"/>
      <w:divBdr>
        <w:top w:val="none" w:sz="0" w:space="0" w:color="auto"/>
        <w:left w:val="none" w:sz="0" w:space="0" w:color="auto"/>
        <w:bottom w:val="none" w:sz="0" w:space="0" w:color="auto"/>
        <w:right w:val="none" w:sz="0" w:space="0" w:color="auto"/>
      </w:divBdr>
    </w:div>
    <w:div w:id="2074698850">
      <w:bodyDiv w:val="1"/>
      <w:marLeft w:val="0"/>
      <w:marRight w:val="0"/>
      <w:marTop w:val="0"/>
      <w:marBottom w:val="0"/>
      <w:divBdr>
        <w:top w:val="none" w:sz="0" w:space="0" w:color="auto"/>
        <w:left w:val="none" w:sz="0" w:space="0" w:color="auto"/>
        <w:bottom w:val="none" w:sz="0" w:space="0" w:color="auto"/>
        <w:right w:val="none" w:sz="0" w:space="0" w:color="auto"/>
      </w:divBdr>
    </w:div>
    <w:div w:id="211034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ariffauthority.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1FCF9-6A11-4282-8271-C838EFFF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5</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DD_DDO</dc:creator>
  <cp:keywords/>
  <dc:description/>
  <cp:lastModifiedBy>TARIFF_LDC3</cp:lastModifiedBy>
  <cp:revision>446</cp:revision>
  <cp:lastPrinted>2020-02-04T10:52:00Z</cp:lastPrinted>
  <dcterms:created xsi:type="dcterms:W3CDTF">2020-01-03T12:59:00Z</dcterms:created>
  <dcterms:modified xsi:type="dcterms:W3CDTF">2020-11-09T07:00:00Z</dcterms:modified>
</cp:coreProperties>
</file>